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IJKGuide"/>
      </w:pPr>
      <w:r>
        <w:rPr>
          <w:i/>
          <w:color w:val="7F7F7F"/>
        </w:rPr>
        <w:t>[This document shows how an article accepted in IJK will look once typeset. It is a reference for authors and the specification for the typesetter; the production notes at the end are not part of the article.]</w:t>
      </w:r>
    </w:p>
    <w:tbl>
      <w:tblPr>
        <w:tblW w:type="dxa" w:w="9637"/>
        <w:jc w:val="center"/>
        <w:tblBorders>
          <w:top w:val="nil"/>
          <w:left w:val="nil"/>
          <w:bottom w:val="nil"/>
          <w:right w:val="nil"/>
          <w:insideH w:val="nil"/>
          <w:insideV w:val="nil"/>
        </w:tblBorders>
        <w:tblLayout w:type="fixed"/>
        <w:tblLook w:firstColumn="1" w:firstRow="1" w:lastColumn="0" w:lastRow="0" w:noHBand="0" w:noVBand="1" w:val="04A0"/>
      </w:tblPr>
      <w:tblGrid>
        <w:gridCol w:w="4818"/>
        <w:gridCol w:w="4818"/>
      </w:tblGrid>
      <w:tr>
        <w:tc>
          <w:tcPr>
            <w:tcW w:type="dxa" w:w="4819"/>
            <w:shd w:val="clear" w:color="auto" w:fill="0F70B7"/>
            <w:tcMar>
              <w:top w:w="50" w:type="dxa"/>
              <w:bottom w:w="50" w:type="dxa"/>
              <w:left w:w="120" w:type="dxa"/>
              <w:right w:w="120" w:type="dxa"/>
            </w:tcMar>
          </w:tcPr>
          <w:p>
            <w:pPr>
              <w:pStyle w:val="IJKSmall"/>
            </w:pPr>
            <w:r>
              <w:rPr>
                <w:b/>
                <w:color w:val="FFFFFF"/>
                <w:sz w:val="18"/>
              </w:rPr>
              <w:t>ORIGINAL RESEARCH ARTICLE</w:t>
            </w:r>
          </w:p>
        </w:tc>
        <w:tc>
          <w:tcPr>
            <w:tcW w:type="dxa" w:w="4819"/>
            <w:shd w:val="clear" w:color="auto" w:fill="0F70B7"/>
            <w:tcMar>
              <w:top w:w="50" w:type="dxa"/>
              <w:bottom w:w="50" w:type="dxa"/>
              <w:left w:w="120" w:type="dxa"/>
              <w:right w:w="120" w:type="dxa"/>
            </w:tcMar>
          </w:tcPr>
          <w:p>
            <w:pPr>
              <w:pStyle w:val="IJKSmall"/>
              <w:jc w:val="right"/>
            </w:pPr>
            <w:r>
              <w:rPr>
                <w:b/>
                <w:color w:val="FFFFFF"/>
                <w:sz w:val="18"/>
              </w:rPr>
              <w:t xml:space="preserve">DOI: </w:t>
            </w:r>
            <w:hyperlink r:id="rId13">
              <w:r>
                <w:rPr>
                  <w:rFonts w:ascii="Arial" w:hAnsi="Arial" w:cs="Arial"/>
                  <w:b/>
                  <w:color w:val="FFFFFF"/>
                  <w:sz w:val="18"/>
                </w:rPr>
                <w:t xml:space="preserve">10.34256/ijkXXXX</w:t>
              </w:r>
            </w:hyperlink>
          </w:p>
        </w:tc>
      </w:tr>
    </w:tbl>
    <w:p>
      <w:pPr>
        <w:pStyle w:val="IJKTitle"/>
        <w:spacing w:before="200"/>
      </w:pPr>
      <w:r>
        <w:t>Title of the Manuscript: Concise and Informative, Capitalising Each Main Word</w:t>
      </w:r>
    </w:p>
    <w:p>
      <w:pPr>
        <w:pStyle w:val="IJKAuthors"/>
      </w:pPr>
      <w:r>
        <w:t>Firstname Middlename Surname</w:t>
      </w:r>
      <w:r>
        <w:rPr>
          <w:vertAlign w:val="superscript"/>
        </w:rPr>
        <w:t>1*</w:t>
      </w:r>
      <w:r>
        <w:t xml:space="preserve"> </w:t>
      </w:r>
      <w:hyperlink r:id="rId15">
        <w:r>
          <w:drawing>
            <wp:inline xmlns:a="http://schemas.openxmlformats.org/drawingml/2006/main" xmlns:pic="http://schemas.openxmlformats.org/drawingml/2006/picture">
              <wp:extent cx="114300" cy="114300"/>
              <wp:docPr id="1" name="Picture 1"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r>
        <w:t xml:space="preserve">, </w:t>
      </w:r>
      <w:r>
        <w:t>Firstname Surname</w:t>
      </w:r>
      <w:r>
        <w:rPr>
          <w:vertAlign w:val="superscript"/>
        </w:rPr>
        <w:t>2</w:t>
      </w:r>
      <w:r>
        <w:t xml:space="preserve"> </w:t>
      </w:r>
      <w:hyperlink r:id="rId15">
        <w:r>
          <w:drawing>
            <wp:inline xmlns:a="http://schemas.openxmlformats.org/drawingml/2006/main" xmlns:pic="http://schemas.openxmlformats.org/drawingml/2006/picture">
              <wp:extent cx="114300" cy="114300"/>
              <wp:docPr id="2" name="Picture 2"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r>
        <w:t xml:space="preserve">, </w:t>
      </w:r>
      <w:r>
        <w:t>Firstname Surname</w:t>
      </w:r>
      <w:r>
        <w:rPr>
          <w:vertAlign w:val="superscript"/>
        </w:rPr>
        <w:t>1,2</w:t>
      </w:r>
      <w:r>
        <w:t xml:space="preserve"> </w:t>
      </w:r>
      <w:hyperlink r:id="rId15">
        <w:r>
          <w:drawing>
            <wp:inline xmlns:a="http://schemas.openxmlformats.org/drawingml/2006/main" xmlns:pic="http://schemas.openxmlformats.org/drawingml/2006/picture">
              <wp:extent cx="114300" cy="114300"/>
              <wp:docPr id="3" name="Picture 3" descr="ORCID iD" title="ORCID iD"/>
              <wp:cNvGraphicFramePr>
                <a:graphicFrameLocks noChangeAspect="1"/>
              </wp:cNvGraphicFramePr>
              <a:graphic>
                <a:graphicData uri="http://schemas.openxmlformats.org/drawingml/2006/picture">
                  <pic:pic>
                    <pic:nvPicPr>
                      <pic:cNvPr id="0" name="orcid.png"/>
                      <pic:cNvPicPr/>
                    </pic:nvPicPr>
                    <pic:blipFill>
                      <a:blip r:embed="rId14"/>
                      <a:stretch>
                        <a:fillRect/>
                      </a:stretch>
                    </pic:blipFill>
                    <pic:spPr>
                      <a:xfrm>
                        <a:off x="0" y="0"/>
                        <a:ext cx="114300" cy="114300"/>
                      </a:xfrm>
                      <a:prstGeom prst="rect"/>
                    </pic:spPr>
                  </pic:pic>
                </a:graphicData>
              </a:graphic>
            </wp:inline>
          </w:drawing>
        </w:r>
      </w:hyperlink>
    </w:p>
    <w:p>
      <w:pPr>
        <w:pStyle w:val="IJKAffiliation"/>
      </w:pPr>
      <w:r>
        <w:rPr>
          <w:vertAlign w:val="superscript"/>
        </w:rPr>
        <w:t>1</w:t>
      </w:r>
      <w:r>
        <w:t xml:space="preserve"> Department, Faculty, University or Institution (written in full), City, Country.</w:t>
      </w:r>
    </w:p>
    <w:p>
      <w:pPr>
        <w:pStyle w:val="IJKAffiliation"/>
      </w:pPr>
      <w:r>
        <w:rPr>
          <w:vertAlign w:val="superscript"/>
        </w:rPr>
        <w:t>2</w:t>
      </w:r>
      <w:r>
        <w:t xml:space="preserve"> Department, Faculty, University or Institution (written in full), City, Country.</w:t>
      </w:r>
    </w:p>
    <w:p>
      <w:pPr>
        <w:pStyle w:val="IJKArticleInfo"/>
        <w:spacing w:before="80"/>
      </w:pPr>
      <w:r>
        <w:rPr>
          <w:b/>
        </w:rPr>
        <w:t xml:space="preserve">* Corresponding author: </w:t>
      </w:r>
      <w:r>
        <w:t xml:space="preserve">Firstname Surname, </w:t>
      </w:r>
      <w:hyperlink r:id="rId16">
        <w:r>
          <w:rPr>
            <w:rFonts w:ascii="Arial" w:hAnsi="Arial" w:cs="Arial"/>
            <w:color w:val="0F70B7"/>
            <w:u w:val="single"/>
          </w:rPr>
          <w:t xml:space="preserve">email@institution.org</w:t>
        </w:r>
      </w:hyperlink>
    </w:p>
    <w:p>
      <w:pPr>
        <w:spacing w:after="0"/>
      </w:pPr>
    </w:p>
    <w:tbl>
      <w:tblPr>
        <w:tblW w:type="dxa" w:w="9637"/>
        <w:jc w:val="center"/>
        <w:tblBorders>
          <w:top w:val="single" w:sz="8" w:color="0F70B7"/>
          <w:left w:val="nil"/>
          <w:bottom w:val="single" w:sz="8" w:color="0F70B7"/>
          <w:right w:val="nil"/>
          <w:insideH w:val="nil"/>
          <w:insideV w:val="nil"/>
        </w:tblBorders>
        <w:tblLayout w:type="fixed"/>
        <w:tblLook w:firstColumn="1" w:firstRow="1" w:lastColumn="0" w:lastRow="0" w:noHBand="0" w:noVBand="1" w:val="04A0"/>
      </w:tblPr>
      <w:tblGrid>
        <w:gridCol w:w="2948"/>
        <w:gridCol w:w="6689"/>
      </w:tblGrid>
      <w:tr>
        <w:tc>
          <w:tcPr>
            <w:tcW w:type="dxa" w:w="2948"/>
            <w:shd w:val="clear" w:color="auto" w:fill="EAF3FA"/>
            <w:tcMar>
              <w:top w:w="100" w:type="dxa"/>
              <w:bottom w:w="100" w:type="dxa"/>
              <w:left w:w="140" w:type="dxa"/>
              <w:right w:w="140" w:type="dxa"/>
            </w:tcMar>
          </w:tcPr>
          <w:p>
            <w:pPr>
              <w:pStyle w:val="IJKBackMatterHeading"/>
              <w:spacing w:before="0"/>
            </w:pPr>
            <w:r>
              <w:t>Article info</w:t>
            </w:r>
          </w:p>
          <w:p>
            <w:pPr>
              <w:pStyle w:val="IJKSmall"/>
            </w:pPr>
            <w:r>
              <w:rPr>
                <w:b/>
              </w:rPr>
              <w:t xml:space="preserve">Received: </w:t>
            </w:r>
            <w:r>
              <w:t>00 Month 2026</w:t>
            </w:r>
          </w:p>
          <w:p>
            <w:pPr>
              <w:pStyle w:val="IJKSmall"/>
            </w:pPr>
            <w:r>
              <w:rPr>
                <w:b/>
              </w:rPr>
              <w:t xml:space="preserve">Revised: </w:t>
            </w:r>
            <w:r>
              <w:t>00 Month 2026</w:t>
            </w:r>
          </w:p>
          <w:p>
            <w:pPr>
              <w:pStyle w:val="IJKSmall"/>
            </w:pPr>
            <w:r>
              <w:rPr>
                <w:b/>
              </w:rPr>
              <w:t xml:space="preserve">Accepted: </w:t>
            </w:r>
            <w:r>
              <w:t>00 Month 2026</w:t>
            </w:r>
          </w:p>
          <w:p>
            <w:pPr>
              <w:pStyle w:val="IJKSmall"/>
            </w:pPr>
            <w:r>
              <w:rPr>
                <w:b/>
              </w:rPr>
              <w:t xml:space="preserve">Published: </w:t>
            </w:r>
            <w:r>
              <w:t>00 Month 2026</w:t>
            </w:r>
          </w:p>
          <w:p>
            <w:pPr>
              <w:pStyle w:val="IJKBackMatterHeading"/>
            </w:pPr>
            <w:r>
              <w:t>How to cite</w:t>
            </w:r>
          </w:p>
          <w:p>
            <w:pPr>
              <w:pStyle w:val="IJKSmall"/>
            </w:pPr>
            <w:r>
              <w:t xml:space="preserve">Surname, A. A., Surname, B. B., &amp; Surname, C. C. (2026). Title of the article. </w:t>
            </w:r>
            <w:r>
              <w:rPr>
                <w:b w:val="0"/>
                <w:i/>
              </w:rPr>
              <w:t>International Journal of Kinanthropometry, 6</w:t>
            </w:r>
            <w:r>
              <w:t xml:space="preserve">(2), 1–12. </w:t>
            </w:r>
            <w:hyperlink r:id="rId13">
              <w:r>
                <w:rPr>
                  <w:rFonts w:ascii="Arial" w:hAnsi="Arial" w:cs="Arial"/>
                  <w:color w:val="0F70B7"/>
                  <w:sz w:val="16"/>
                  <w:u w:val="single"/>
                </w:rPr>
                <w:t xml:space="preserve">https://doi.org/10.34256/ijkXXXX</w:t>
              </w:r>
            </w:hyperlink>
          </w:p>
          <w:p>
            <w:pPr>
              <w:pStyle w:val="IJKSmall"/>
              <w:spacing w:before="160"/>
            </w:pPr>
            <w:hyperlink r:id="rId18">
              <w:r>
                <w:drawing>
                  <wp:inline xmlns:a="http://schemas.openxmlformats.org/drawingml/2006/main" xmlns:pic="http://schemas.openxmlformats.org/drawingml/2006/picture">
                    <wp:extent cx="562500" cy="180000"/>
                    <wp:docPr id="4" name="Picture 4" descr="CC BY 4.0" title="CC BY 4.0"/>
                    <wp:cNvGraphicFramePr>
                      <a:graphicFrameLocks noChangeAspect="1"/>
                    </wp:cNvGraphicFramePr>
                    <a:graphic>
                      <a:graphicData uri="http://schemas.openxmlformats.org/drawingml/2006/picture">
                        <pic:pic>
                          <pic:nvPicPr>
                            <pic:cNvPr id="0" name="cc_by.png"/>
                            <pic:cNvPicPr/>
                          </pic:nvPicPr>
                          <pic:blipFill>
                            <a:blip r:embed="rId17"/>
                            <a:stretch>
                              <a:fillRect/>
                            </a:stretch>
                          </pic:blipFill>
                          <pic:spPr>
                            <a:xfrm>
                              <a:off x="0" y="0"/>
                              <a:ext cx="562500" cy="180000"/>
                            </a:xfrm>
                            <a:prstGeom prst="rect"/>
                          </pic:spPr>
                        </pic:pic>
                      </a:graphicData>
                    </a:graphic>
                  </wp:inline>
                </w:drawing>
              </w:r>
            </w:hyperlink>
            <w:r>
              <w:t xml:space="preserve">  </w:t>
            </w:r>
            <w:r>
              <w:drawing>
                <wp:inline xmlns:a="http://schemas.openxmlformats.org/drawingml/2006/main" xmlns:pic="http://schemas.openxmlformats.org/drawingml/2006/picture">
                  <wp:extent cx="675000" cy="180000"/>
                  <wp:docPr id="5" name="Picture 5" descr="Open Access" title="Open Access"/>
                  <wp:cNvGraphicFramePr>
                    <a:graphicFrameLocks noChangeAspect="1"/>
                  </wp:cNvGraphicFramePr>
                  <a:graphic>
                    <a:graphicData uri="http://schemas.openxmlformats.org/drawingml/2006/picture">
                      <pic:pic>
                        <pic:nvPicPr>
                          <pic:cNvPr id="0" name="open_access.png"/>
                          <pic:cNvPicPr/>
                        </pic:nvPicPr>
                        <pic:blipFill>
                          <a:blip r:embed="rId19"/>
                          <a:stretch>
                            <a:fillRect/>
                          </a:stretch>
                        </pic:blipFill>
                        <pic:spPr>
                          <a:xfrm>
                            <a:off x="0" y="0"/>
                            <a:ext cx="675000" cy="180000"/>
                          </a:xfrm>
                          <a:prstGeom prst="rect"/>
                        </pic:spPr>
                      </pic:pic>
                    </a:graphicData>
                  </a:graphic>
                </wp:inline>
              </w:drawing>
            </w:r>
          </w:p>
          <w:p>
            <w:pPr>
              <w:pStyle w:val="IJKSmall"/>
              <w:spacing w:before="60"/>
            </w:pPr>
            <w:r>
              <w:t xml:space="preserve">© The Author(s) 2026. Open access article distributed under the </w:t>
            </w:r>
            <w:hyperlink r:id="rId18">
              <w:r>
                <w:rPr>
                  <w:rFonts w:ascii="Arial" w:hAnsi="Arial" w:cs="Arial"/>
                  <w:color w:val="0F70B7"/>
                  <w:sz w:val="16"/>
                  <w:u w:val="single"/>
                </w:rPr>
                <w:t xml:space="preserve">CC BY 4.0 licence</w:t>
              </w:r>
            </w:hyperlink>
            <w:r>
              <w:t>.</w:t>
            </w:r>
          </w:p>
        </w:tc>
        <w:tc>
          <w:tcPr>
            <w:tcW w:type="dxa" w:w="6690"/>
            <w:tcMar>
              <w:top w:w="60" w:type="dxa"/>
              <w:bottom w:w="60" w:type="dxa"/>
              <w:left w:w="220" w:type="dxa"/>
              <w:right w:w="0" w:type="dxa"/>
            </w:tcMar>
          </w:tcPr>
          <w:p>
            <w:pPr>
              <w:pStyle w:val="IJKAbstractHeading"/>
              <w:spacing w:before="0"/>
              <w:jc w:val="left"/>
            </w:pPr>
            <w:r>
              <w:t>Abstract</w:t>
            </w:r>
          </w:p>
          <w:p>
            <w:pPr>
              <w:pStyle w:val="IJKAbstract"/>
            </w:pPr>
            <w:r>
              <w:rPr>
                <w:b/>
              </w:rPr>
              <w:t xml:space="preserve">Introduction: </w:t>
            </w:r>
            <w:r>
              <w:t xml:space="preserve">Background and aim of the study. </w:t>
            </w:r>
            <w:r>
              <w:rPr>
                <w:b/>
              </w:rPr>
              <w:t xml:space="preserve">Methods: </w:t>
            </w:r>
            <w:r>
              <w:t xml:space="preserve">Design, participants, anthropometric protocol and statistical analysis. </w:t>
            </w:r>
            <w:r>
              <w:rPr>
                <w:b/>
              </w:rPr>
              <w:t xml:space="preserve">Results: </w:t>
            </w:r>
            <w:r>
              <w:t xml:space="preserve">Main findings with key numerical results. </w:t>
            </w:r>
            <w:r>
              <w:rPr>
                <w:b/>
              </w:rPr>
              <w:t xml:space="preserve">Conclusions: </w:t>
            </w:r>
            <w:r>
              <w:t>Main conclusion and practical implications.</w:t>
            </w:r>
          </w:p>
          <w:p>
            <w:pPr>
              <w:pStyle w:val="IJKKeywords"/>
            </w:pPr>
            <w:r>
              <w:rPr>
                <w:b/>
                <w:color w:val="0F70B7"/>
              </w:rPr>
              <w:t xml:space="preserve">Keywords: </w:t>
            </w:r>
            <w:r>
              <w:t>anthropometry; body composition; kinanthropometry; somatotype</w:t>
            </w:r>
          </w:p>
        </w:tc>
      </w:tr>
    </w:tbl>
    <w:p>
      <w:pPr>
        <w:pStyle w:val="IJKTitleTranslated"/>
      </w:pPr>
      <w:r>
        <w:t>Título del artículo traducido al español</w:t>
      </w:r>
    </w:p>
    <w:p>
      <w:pPr>
        <w:pStyle w:val="IJKAbstractHeading"/>
        <w:jc w:val="left"/>
      </w:pPr>
      <w:r>
        <w:t>Resumen</w:t>
      </w:r>
    </w:p>
    <w:p>
      <w:pPr>
        <w:pStyle w:val="IJKAbstract"/>
      </w:pPr>
      <w:r>
        <w:rPr>
          <w:b/>
        </w:rPr>
        <w:t xml:space="preserve">Introducción: </w:t>
      </w:r>
      <w:r>
        <w:t xml:space="preserve">Antecedentes y objetivo del estudio. </w:t>
      </w:r>
      <w:r>
        <w:rPr>
          <w:b/>
        </w:rPr>
        <w:t xml:space="preserve">Métodos: </w:t>
      </w:r>
      <w:r>
        <w:t xml:space="preserve">Diseño, participantes, protocolo antropométrico y análisis estadístico. </w:t>
      </w:r>
      <w:r>
        <w:rPr>
          <w:b/>
        </w:rPr>
        <w:t xml:space="preserve">Resultados: </w:t>
      </w:r>
      <w:r>
        <w:t xml:space="preserve">Principales hallazgos con los resultados numéricos clave. </w:t>
      </w:r>
      <w:r>
        <w:rPr>
          <w:b/>
        </w:rPr>
        <w:t xml:space="preserve">Conclusiones: </w:t>
      </w:r>
      <w:r>
        <w:t>Conclusión principal y aplicaciones prácticas.</w:t>
      </w:r>
    </w:p>
    <w:p>
      <w:pPr>
        <w:pStyle w:val="IJKKeywords"/>
        <w:pBdr>
          <w:bottom w:val="single" w:sz="8" w:space="6" w:color="0F70B7"/>
        </w:pBdr>
        <w:spacing w:after="40"/>
      </w:pPr>
      <w:r>
        <w:rPr>
          <w:b/>
          <w:color w:val="0F70B7"/>
        </w:rPr>
        <w:t xml:space="preserve">Palabras clave: </w:t>
      </w:r>
      <w:r>
        <w:t>antropometría; cineantropometría; composición corporal; somatotipo</w:t>
      </w:r>
    </w:p>
    <w:p>
      <w:pPr>
        <w:pStyle w:val="Heading1"/>
      </w:pPr>
      <w:r>
        <w:t>Introduction</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1"/>
      </w:pPr>
      <w:r>
        <w:t>Materials and Methods</w:t>
      </w:r>
    </w:p>
    <w:p>
      <w:pPr>
        <w:pStyle w:val="Heading2"/>
      </w:pPr>
      <w:r>
        <w:t>Study Design</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Participants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Procedures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Anthropometric Measurements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Derived Variables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Other Variables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2"/>
      </w:pPr>
      <w:r>
        <w:t>Statistical Analysis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1"/>
      </w:pPr>
      <w:r>
        <w:t>Results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IJKTableCaption"/>
      </w:pPr>
      <w:r>
        <w:rPr>
          <w:b/>
        </w:rPr>
        <w:t xml:space="preserve">Table 1. </w:t>
      </w:r>
      <w:r>
        <w:t>Descriptive characteristics of the participants by sex (mean ± SD).</w:t>
      </w:r>
    </w:p>
    <w:tbl>
      <w:tblPr>
        <w:tblW w:type="dxa" w:w="9411"/>
        <w:jc w:val="center"/>
        <w:tblBorders>
          <w:top w:val="single" w:sz="12" w:color="000000"/>
          <w:left w:val="nil"/>
          <w:bottom w:val="single" w:sz="12" w:color="000000"/>
          <w:right w:val="nil"/>
          <w:insideH w:val="nil"/>
          <w:insideV w:val="nil"/>
        </w:tblBorders>
        <w:tblLayout w:type="fixed"/>
        <w:tblLook w:firstColumn="1" w:firstRow="1" w:lastColumn="0" w:lastRow="0" w:noHBand="0" w:noVBand="1" w:val="04A0"/>
      </w:tblPr>
      <w:tblGrid>
        <w:gridCol w:w="2834"/>
        <w:gridCol w:w="2040"/>
        <w:gridCol w:w="2040"/>
        <w:gridCol w:w="1247"/>
        <w:gridCol w:w="1247"/>
      </w:tblGrid>
      <w:tr>
        <w:trPr>
          <w:tblHeader w:val="true"/>
        </w:trPr>
        <w:tc>
          <w:tcPr>
            <w:tcW w:type="dxa" w:w="2835"/>
            <w:tcBorders>
              <w:bottom w:val="single" w:sz="6" w:color="000000"/>
            </w:tcBorders>
          </w:tcPr>
          <w:p>
            <w:pPr>
              <w:pStyle w:val="IJKTableText"/>
            </w:pPr>
            <w:r>
              <w:rPr>
                <w:b/>
              </w:rPr>
              <w:t>Variable</w:t>
            </w:r>
          </w:p>
        </w:tc>
        <w:tc>
          <w:tcPr>
            <w:tcW w:type="dxa" w:w="2041"/>
            <w:tcBorders>
              <w:bottom w:val="single" w:sz="6" w:color="000000"/>
            </w:tcBorders>
          </w:tcPr>
          <w:p>
            <w:pPr>
              <w:pStyle w:val="IJKTableText"/>
              <w:jc w:val="center"/>
            </w:pPr>
            <w:r>
              <w:rPr>
                <w:b/>
              </w:rPr>
              <w:t>Females (n = 00)</w:t>
            </w:r>
          </w:p>
        </w:tc>
        <w:tc>
          <w:tcPr>
            <w:tcW w:type="dxa" w:w="2041"/>
            <w:tcBorders>
              <w:bottom w:val="single" w:sz="6" w:color="000000"/>
            </w:tcBorders>
          </w:tcPr>
          <w:p>
            <w:pPr>
              <w:pStyle w:val="IJKTableText"/>
              <w:jc w:val="center"/>
            </w:pPr>
            <w:r>
              <w:rPr>
                <w:b/>
              </w:rPr>
              <w:t>Males (n = 00)</w:t>
            </w:r>
          </w:p>
        </w:tc>
        <w:tc>
          <w:tcPr>
            <w:tcW w:type="dxa" w:w="1247"/>
            <w:tcBorders>
              <w:bottom w:val="single" w:sz="6" w:color="000000"/>
            </w:tcBorders>
          </w:tcPr>
          <w:p>
            <w:pPr>
              <w:pStyle w:val="IJKTableText"/>
              <w:jc w:val="center"/>
            </w:pPr>
            <w:r>
              <w:rPr>
                <w:b/>
                <w:i/>
              </w:rPr>
              <w:t>p</w:t>
            </w:r>
          </w:p>
        </w:tc>
        <w:tc>
          <w:tcPr>
            <w:tcW w:type="dxa" w:w="1247"/>
            <w:tcBorders>
              <w:bottom w:val="single" w:sz="6" w:color="000000"/>
            </w:tcBorders>
          </w:tcPr>
          <w:p>
            <w:pPr>
              <w:pStyle w:val="IJKTableText"/>
              <w:jc w:val="center"/>
            </w:pPr>
            <w:r>
              <w:rPr>
                <w:b/>
              </w:rPr>
              <w:t>ES</w:t>
            </w:r>
          </w:p>
        </w:tc>
      </w:tr>
      <w:tr>
        <w:tc>
          <w:tcPr>
            <w:tcW w:type="dxa" w:w="2835"/>
          </w:tcPr>
          <w:p>
            <w:pPr>
              <w:pStyle w:val="IJKTableText"/>
            </w:pPr>
            <w:r>
              <w:t>Age (years)</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Body mass (kg)</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Stretch stature (cm)</w:t>
            </w:r>
          </w:p>
        </w:tc>
        <w:tc>
          <w:tcPr>
            <w:tcW w:type="dxa" w:w="2041"/>
          </w:tcPr>
          <w:p>
            <w:pPr>
              <w:pStyle w:val="IJKTableText"/>
              <w:jc w:val="center"/>
            </w:pPr>
            <w:r>
              <w:t>000.0 ± 0.0</w:t>
            </w:r>
          </w:p>
        </w:tc>
        <w:tc>
          <w:tcPr>
            <w:tcW w:type="dxa" w:w="2041"/>
          </w:tcPr>
          <w:p>
            <w:pPr>
              <w:pStyle w:val="IJKTableText"/>
              <w:jc w:val="center"/>
            </w:pPr>
            <w:r>
              <w:t>000.0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Σ8 skinfolds (mm)</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bl>
    <w:p>
      <w:pPr>
        <w:pStyle w:val="IJKTableNote"/>
      </w:pPr>
      <w:r>
        <w:rPr>
          <w:i/>
        </w:rPr>
        <w:t xml:space="preserve">Note: </w:t>
      </w:r>
      <w:r>
        <w:t xml:space="preserve">SD, standard deviation; ES, effect size (Cohen’s d); Σ8 skinfolds, sum of eight skinfolds. </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tbl>
      <w:tblPr>
        <w:tblW w:type="auto" w:w="0"/>
        <w:jc w:val="center"/>
        <w:tblBorders>
          <w:top w:val="single" w:sz="4" w:color="7F7F7F"/>
          <w:left w:val="single" w:sz="4" w:color="7F7F7F"/>
          <w:bottom w:val="single" w:sz="4" w:color="7F7F7F"/>
          <w:right w:val="single" w:sz="4" w:color="7F7F7F"/>
          <w:insideH w:val="nil"/>
          <w:insideV w:val="nil"/>
        </w:tblBorders>
        <w:tblLook w:firstColumn="1" w:firstRow="1" w:lastColumn="0" w:lastRow="0" w:noHBand="0" w:noVBand="1" w:val="04A0"/>
      </w:tblPr>
      <w:tblGrid>
        <w:gridCol w:w="9638"/>
      </w:tblGrid>
      <w:tr>
        <w:tc>
          <w:tcPr>
            <w:tcW w:type="dxa" w:w="9638"/>
            <w:tcMar>
              <w:top w:w="500" w:type="dxa"/>
              <w:bottom w:w="500" w:type="dxa"/>
              <w:left w:w="200" w:type="dxa"/>
              <w:right w:w="200" w:type="dxa"/>
            </w:tcMar>
          </w:tcPr>
          <w:p>
            <w:pPr>
              <w:pStyle w:val="IJKFigure"/>
            </w:pPr>
            <w:r>
              <w:t>[Insert the figure here, close to where it is first cited. Resolution ≥ 300 dpi; colours distinguishable in greyscale. Upload it also as a separate file (TIFF, EPS, PNG or JPG).]</w:t>
            </w:r>
          </w:p>
        </w:tc>
      </w:tr>
    </w:tbl>
    <w:p>
      <w:pPr>
        <w:pStyle w:val="IJKFigureCaption"/>
      </w:pPr>
      <w:r>
        <w:rPr>
          <w:b/>
        </w:rPr>
        <w:t xml:space="preserve">Figure 1. </w:t>
      </w:r>
      <w:r>
        <w:t>Caption that describes the figure and can be understood without reading the main text. Define the abbreviations used.</w:t>
      </w:r>
    </w:p>
    <w:p>
      <w:pPr>
        <w:pStyle w:val="IJKGuide"/>
      </w:pPr>
      <w:r>
        <w:rPr>
          <w:b/>
          <w:color w:val="7F7F7F"/>
        </w:rPr>
        <w:t xml:space="preserve">Alternative text: </w:t>
      </w:r>
      <w:r>
        <w:rPr>
          <w:i/>
          <w:color w:val="7F7F7F"/>
        </w:rPr>
        <w:t>[Brief description of the content of the figure for screen-reader users (max. 250 characters).]</w:t>
      </w:r>
    </w:p>
    <w:p>
      <w:pPr>
        <w:pStyle w:val="Heading1"/>
      </w:pPr>
      <w:r>
        <w:t>Discussion</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1"/>
      </w:pPr>
      <w:r>
        <w:t>Conclusions</w:t>
      </w:r>
    </w:p>
    <w:p>
      <w:pPr>
        <w:pStyle w:val="IJKBody"/>
      </w:pPr>
      <w:r>
        <w:t>Text of the section. Body text is set in Arial 10 pt, justified, with line spacing 1.15 and 6 pt after each paragraph, without first-line indentation. Citations follow the author–date format of APA 7, e.g. (Esparza-Ros et al., 2019) or Esparza-Ros et al. (2019), and every in-text citation appears in the reference list.</w:t>
      </w:r>
    </w:p>
    <w:p>
      <w:pPr>
        <w:pStyle w:val="Heading1"/>
      </w:pPr>
      <w:r>
        <w:t>Declarations</w:t>
      </w:r>
    </w:p>
    <w:p>
      <w:pPr>
        <w:pStyle w:val="IJKBackMatter"/>
      </w:pPr>
      <w:r>
        <w:rPr>
          <w:b/>
          <w:color w:val="0F70B7"/>
        </w:rPr>
        <w:t xml:space="preserve">Author contributions. </w:t>
      </w:r>
      <w:r>
        <w:t>Conceptualization: A.A.S.; Methodology: A.A.S., B.B.S.; Formal analysis: B.B.S.; Writing – original draft: A.A.S.; Writing – review &amp; editing: all authors. All authors have read and approved the final version of the manuscript.</w:t>
      </w:r>
    </w:p>
    <w:p>
      <w:pPr>
        <w:pStyle w:val="IJKBackMatter"/>
      </w:pPr>
      <w:r>
        <w:rPr>
          <w:b/>
          <w:color w:val="0F70B7"/>
        </w:rPr>
        <w:t xml:space="preserve">Funding. </w:t>
      </w:r>
      <w:r>
        <w:t>This research received no external funding.</w:t>
      </w:r>
    </w:p>
    <w:p>
      <w:pPr>
        <w:pStyle w:val="IJKBackMatter"/>
      </w:pPr>
      <w:r>
        <w:rPr>
          <w:b/>
          <w:color w:val="0F70B7"/>
        </w:rPr>
        <w:t xml:space="preserve">Conflicts of interest. </w:t>
      </w:r>
      <w:r>
        <w:t>The authors declare no conflicts of interest.</w:t>
      </w:r>
    </w:p>
    <w:p>
      <w:pPr>
        <w:pStyle w:val="IJKBackMatter"/>
      </w:pPr>
      <w:r>
        <w:rPr>
          <w:b/>
          <w:color w:val="0F70B7"/>
        </w:rPr>
        <w:t xml:space="preserve">Ethics approval. </w:t>
      </w:r>
      <w:r>
        <w:t>The study was approved by the [Ethics Committee of the University] (code [0000], [date]) and conducted in accordance with the Declaration of Helsinki.</w:t>
      </w:r>
    </w:p>
    <w:p>
      <w:pPr>
        <w:pStyle w:val="IJKBackMatter"/>
      </w:pPr>
      <w:r>
        <w:rPr>
          <w:b/>
          <w:color w:val="0F70B7"/>
        </w:rPr>
        <w:t xml:space="preserve">Informed consent. </w:t>
      </w:r>
      <w:r>
        <w:t>Written informed consent was obtained from all participants.</w:t>
      </w:r>
    </w:p>
    <w:p>
      <w:pPr>
        <w:pStyle w:val="IJKBackMatter"/>
      </w:pPr>
      <w:r>
        <w:rPr>
          <w:b/>
          <w:color w:val="0F70B7"/>
        </w:rPr>
        <w:t xml:space="preserve">Data availability statement. </w:t>
      </w:r>
      <w:r>
        <w:t>The data are available from the corresponding author on reasonable request.</w:t>
      </w:r>
    </w:p>
    <w:p>
      <w:pPr>
        <w:pStyle w:val="IJKBackMatter"/>
      </w:pPr>
      <w:r>
        <w:rPr>
          <w:b/>
          <w:color w:val="0F70B7"/>
        </w:rPr>
        <w:t xml:space="preserve">Use of artificial intelligence. </w:t>
      </w:r>
      <w:r>
        <w:t>No generative artificial intelligence tools were used in the preparation of this manuscript.</w:t>
      </w:r>
    </w:p>
    <w:p>
      <w:pPr>
        <w:pStyle w:val="IJKBackMatter"/>
      </w:pPr>
      <w:r>
        <w:rPr>
          <w:b/>
          <w:color w:val="0F70B7"/>
        </w:rPr>
        <w:t xml:space="preserve">Acknowledgements. </w:t>
      </w:r>
      <w:r>
        <w:t>The authors thank the participants for their collaboration.</w:t>
      </w:r>
    </w:p>
    <w:p>
      <w:pPr>
        <w:pStyle w:val="IJKBackMatter"/>
        <w:spacing w:before="120"/>
      </w:pPr>
      <w:hyperlink r:id="rId18">
        <w:r>
          <w:drawing>
            <wp:inline xmlns:a="http://schemas.openxmlformats.org/drawingml/2006/main" xmlns:pic="http://schemas.openxmlformats.org/drawingml/2006/picture">
              <wp:extent cx="506250" cy="162000"/>
              <wp:docPr id="6" name="Picture 6" descr="CC BY 4.0" title="CC BY 4.0"/>
              <wp:cNvGraphicFramePr>
                <a:graphicFrameLocks noChangeAspect="1"/>
              </wp:cNvGraphicFramePr>
              <a:graphic>
                <a:graphicData uri="http://schemas.openxmlformats.org/drawingml/2006/picture">
                  <pic:pic>
                    <pic:nvPicPr>
                      <pic:cNvPr id="0" name="cc_by.png"/>
                      <pic:cNvPicPr/>
                    </pic:nvPicPr>
                    <pic:blipFill>
                      <a:blip r:embed="rId17"/>
                      <a:stretch>
                        <a:fillRect/>
                      </a:stretch>
                    </pic:blipFill>
                    <pic:spPr>
                      <a:xfrm>
                        <a:off x="0" y="0"/>
                        <a:ext cx="506250" cy="162000"/>
                      </a:xfrm>
                      <a:prstGeom prst="rect"/>
                    </pic:spPr>
                  </pic:pic>
                </a:graphicData>
              </a:graphic>
            </wp:inline>
          </w:drawing>
        </w:r>
      </w:hyperlink>
      <w:r>
        <w:t xml:space="preserve">  </w:t>
      </w:r>
      <w:r>
        <w:rPr>
          <w:b/>
          <w:color w:val="0F70B7"/>
        </w:rPr>
        <w:t xml:space="preserve">Licence. </w:t>
      </w:r>
      <w:r>
        <w:t xml:space="preserve">© The Author(s) 2026. This article is published by the International Society for the Advancement of Kinanthropometry (ISAK) under the terms of the Creative Commons Attribution 4.0 International licence (CC BY 4.0), which permits use, sharing, adaptation, distribution and reproduction in any medium or format, provided appropriate credit is given to the original author(s) and the source, a link to the licence is provided and any changes are indicated. </w:t>
      </w:r>
      <w:hyperlink r:id="rId18">
        <w:r>
          <w:rPr>
            <w:rFonts w:ascii="Arial" w:hAnsi="Arial" w:cs="Arial"/>
            <w:color w:val="0F70B7"/>
            <w:sz w:val="18"/>
            <w:u w:val="single"/>
          </w:rPr>
          <w:t xml:space="preserve">https://creativecommons.org/licenses/by/4.0/</w:t>
        </w:r>
      </w:hyperlink>
    </w:p>
    <w:p>
      <w:pPr>
        <w:pStyle w:val="Heading1"/>
      </w:pPr>
      <w:r>
        <w:t>References</w:t>
      </w:r>
    </w:p>
    <w:p>
      <w:pPr>
        <w:pStyle w:val="IJKReference"/>
      </w:pPr>
      <w:r>
        <w:t xml:space="preserve">Esparza-Ros, F., Vaquero-Cristóbal, R., &amp; Marfell-Jones, M. (2019). </w:t>
      </w:r>
      <w:r>
        <w:rPr>
          <w:b w:val="0"/>
          <w:i/>
        </w:rPr>
        <w:t>International standards for anthropometric assessment</w:t>
      </w:r>
      <w:r>
        <w:t xml:space="preserve"> (2019 ed.). International Society for the Advancement of Kinanthropometry.</w:t>
      </w:r>
    </w:p>
    <w:p>
      <w:pPr>
        <w:pStyle w:val="IJKReference"/>
      </w:pPr>
      <w:r>
        <w:t xml:space="preserve">Surname, A. A., &amp; Surname, B. B. (2024). Title of the article. </w:t>
      </w:r>
      <w:r>
        <w:rPr>
          <w:b w:val="0"/>
          <w:i/>
        </w:rPr>
        <w:t>Journal Name, 10</w:t>
      </w:r>
      <w:r>
        <w:t xml:space="preserve">(2), 100–110. </w:t>
      </w:r>
      <w:hyperlink r:id="rId20">
        <w:r>
          <w:rPr>
            <w:rFonts w:ascii="Arial" w:hAnsi="Arial" w:cs="Arial"/>
            <w:color w:val="0F70B7"/>
            <w:u w:val="single"/>
          </w:rPr>
          <w:t xml:space="preserve">https://doi.org/10.xxxx/xxxxx</w:t>
        </w:r>
      </w:hyperlink>
      <w:r>
        <w:br w:type="page"/>
      </w:r>
    </w:p>
    <w:tbl>
      <w:tblPr>
        <w:tblW w:type="auto" w:w="0"/>
        <w:tblBorders>
          <w:top w:val="single" w:sz="6" w:color="7F7F7F"/>
          <w:left w:val="single" w:sz="6" w:color="7F7F7F"/>
          <w:bottom w:val="single" w:sz="6" w:color="7F7F7F"/>
          <w:right w:val="single" w:sz="6" w:color="7F7F7F"/>
          <w:insideH w:val="nil"/>
          <w:insideV w:val="nil"/>
        </w:tblBorders>
        <w:tblLook w:firstColumn="1" w:firstRow="1" w:lastColumn="0" w:lastRow="0" w:noHBand="0" w:noVBand="1" w:val="04A0"/>
      </w:tblPr>
      <w:tblGrid>
        <w:gridCol w:w="9638"/>
      </w:tblGrid>
      <w:tr>
        <w:tc>
          <w:tcPr>
            <w:tcW w:type="dxa" w:w="9638"/>
            <w:shd w:val="clear" w:color="auto" w:fill="F2F2F2"/>
            <w:tcMar>
              <w:top w:w="120" w:type="dxa"/>
              <w:bottom w:w="120" w:type="dxa"/>
              <w:left w:w="180" w:type="dxa"/>
              <w:right w:w="180" w:type="dxa"/>
            </w:tcMar>
          </w:tcPr>
          <w:p>
            <w:pPr>
              <w:pStyle w:val="IJKBackMatterHeading"/>
              <w:spacing w:before="0"/>
            </w:pPr>
            <w:r>
              <w:t>Production notes for the typesetter (not part of the article)</w:t>
            </w:r>
          </w:p>
          <w:p>
            <w:pPr>
              <w:pStyle w:val="IJKBackMatter"/>
              <w:ind w:left="283" w:hanging="283"/>
            </w:pPr>
            <w:r>
              <w:rPr>
                <w:b/>
              </w:rPr>
              <w:t xml:space="preserve">1. </w:t>
            </w:r>
            <w:r>
              <w:t>Fonts: Arial only (embedded). Body 10 pt, line spacing 1.15, justified, 6 pt after each paragraph, no first-line indent. Title 16 pt blue (#0F70B7); Heading 1 12 pt bold blue; Heading 2 10.5 pt bold; Heading 3 10 pt bold italic.</w:t>
            </w:r>
          </w:p>
          <w:p>
            <w:pPr>
              <w:pStyle w:val="IJKBackMatter"/>
              <w:ind w:left="283" w:hanging="283"/>
            </w:pPr>
            <w:r>
              <w:rPr>
                <w:b/>
              </w:rPr>
              <w:t xml:space="preserve">2. </w:t>
            </w:r>
            <w:r>
              <w:t>First page: updated IJK logo, horizontal blue band with article type and linked DOI (no vertical text), article info box with dates, How to cite, licence and Open Access badge. Do not display Crossmark until ISAK deposits the DOIs and Crossmark metadata in Crossref.</w:t>
            </w:r>
          </w:p>
          <w:p>
            <w:pPr>
              <w:pStyle w:val="IJKBackMatter"/>
              <w:ind w:left="283" w:hanging="283"/>
            </w:pPr>
            <w:r>
              <w:rPr>
                <w:b/>
              </w:rPr>
              <w:t xml:space="preserve">3. </w:t>
            </w:r>
            <w:r>
              <w:t>Following pages: running header “Int. J. Kinanthrop. Year, Vol(No): first–last · Surname et al.” (en dash in page ranges) and footer with the linked DOI and page number.</w:t>
            </w:r>
          </w:p>
          <w:p>
            <w:pPr>
              <w:pStyle w:val="IJKBackMatter"/>
              <w:ind w:left="283" w:hanging="283"/>
            </w:pPr>
            <w:r>
              <w:rPr>
                <w:b/>
              </w:rPr>
              <w:t xml:space="preserve">4. </w:t>
            </w:r>
            <w:r>
              <w:t>Tables: three horizontal lines, no vertical lines, caption above and notes below, header row repeated on each page. Figures: caption below and alternative text. Place both close to their first citation.</w:t>
            </w:r>
          </w:p>
          <w:p>
            <w:pPr>
              <w:pStyle w:val="IJKBackMatter"/>
              <w:ind w:left="283" w:hanging="283"/>
            </w:pPr>
            <w:r>
              <w:rPr>
                <w:b/>
              </w:rPr>
              <w:t xml:space="preserve">5. </w:t>
            </w:r>
            <w:r>
              <w:t>References in APA 7 with hanging indent and DOI as https://doi.org/… link. Declarations in fixed order, followed by the licence with link.</w:t>
            </w:r>
          </w:p>
          <w:p>
            <w:pPr>
              <w:pStyle w:val="IJKBackMatter"/>
              <w:ind w:left="283" w:hanging="283"/>
            </w:pPr>
            <w:r>
              <w:rPr>
                <w:b/>
              </w:rPr>
              <w:t xml:space="preserve">6. </w:t>
            </w:r>
            <w:r>
              <w:t>Export: tagged PDF (PDF/UA) with reading order, document language and alternative text; bookmarks generated from the headings; PDF/A-2b for preservation (PKP PN, LOCKSS, CLOCKSS).</w:t>
            </w:r>
          </w:p>
          <w:p>
            <w:pPr>
              <w:pStyle w:val="IJKBackMatter"/>
              <w:ind w:left="283" w:hanging="283"/>
            </w:pPr>
            <w:r>
              <w:rPr>
                <w:b/>
              </w:rPr>
              <w:t xml:space="preserve">7. </w:t>
            </w:r>
            <w:r>
              <w:t>PDF metadata (XMP): title, authors, keywords, language, DOI, journal, E-ISSN; publisher: ISAK. Remove any reference to the previous publisher. File name = DOI suffix (e.g. ijk2621.pdf).</w:t>
            </w:r>
          </w:p>
          <w:p>
            <w:pPr>
              <w:pStyle w:val="IJKBackMatter"/>
              <w:ind w:left="283" w:hanging="283"/>
            </w:pPr>
            <w:r>
              <w:rPr>
                <w:b/>
              </w:rPr>
              <w:t xml:space="preserve">8. </w:t>
            </w:r>
            <w:r>
              <w:t>Deliver the JATS XML generated from the same typesetting, for publication in OJS (Lens viewer) and review with Texture.</w:t>
            </w:r>
          </w:p>
        </w:tc>
      </w:tr>
    </w:tbl>
    <w:sectPr w:rsidR="00FC693F" w:rsidRPr="0006063C" w:rsidSect="00034616">
      <w:headerReference w:type="first" r:id="rId9"/>
      <w:headerReference w:type="default" r:id="rId11"/>
      <w:footerReference w:type="first" r:id="rId10"/>
      <w:footerReference w:type="default" r:id="rId12"/>
      <w:pgSz w:w="11906" w:h="16838"/>
      <w:pgMar w:top="1474" w:right="1134" w:bottom="1134" w:left="1134"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tabs>
        <w:tab w:pos="9638" w:val="right"/>
      </w:tabs>
    </w:pPr>
    <w:hyperlink r:id="rId1">
      <w:r>
        <w:rPr>
          <w:rFonts w:ascii="Arial" w:hAnsi="Arial" w:cs="Arial"/>
          <w:color w:val="0F70B7"/>
          <w:sz w:val="16"/>
        </w:rPr>
        <w:t xml:space="preserve">https://doi.org/10.34256/ijkXXXX</w:t>
      </w:r>
    </w:hyperlink>
    <w:r>
      <w:rPr>
        <w:rFonts w:ascii="Arial" w:hAnsi="Arial"/>
        <w:color w:val="7F7F7F"/>
        <w:sz w:val="16"/>
      </w:rPr>
      <w:tab/>
      <w:t xml:space="preserve">© The Author(s) 2026 · CC BY 4.0 · Page </w:t>
    </w:r>
    <w:r>
      <w:rPr>
        <w:b/>
        <w:sz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tabs>
        <w:tab w:pos="9638" w:val="right"/>
      </w:tabs>
    </w:pPr>
    <w:hyperlink r:id="rId1">
      <w:r>
        <w:rPr>
          <w:rFonts w:ascii="Arial" w:hAnsi="Arial" w:cs="Arial"/>
          <w:color w:val="0F70B7"/>
          <w:sz w:val="16"/>
        </w:rPr>
        <w:t xml:space="preserve">https://doi.org/10.34256/ijkXXXX</w:t>
      </w:r>
    </w:hyperlink>
    <w:r>
      <w:rPr>
        <w:rFonts w:ascii="Arial" w:hAnsi="Arial"/>
        <w:color w:val="7F7F7F"/>
        <w:sz w:val="16"/>
      </w:rPr>
      <w:tab/>
      <w:t xml:space="preserve">Page </w:t>
    </w:r>
    <w:r>
      <w:rPr>
        <w:b/>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40"/>
    </w:pPr>
    <w:hyperlink r:id="rId2">
      <w:r>
        <w:drawing>
          <wp:inline xmlns:a="http://schemas.openxmlformats.org/drawingml/2006/main" xmlns:pic="http://schemas.openxmlformats.org/drawingml/2006/picture">
            <wp:extent cx="4140000" cy="420966"/>
            <wp:docPr id="1" name="Picture 1" descr="International Journal of Kinanthropometry – ISAK" title="International Journal of Kinanthropometry – ISAK"/>
            <wp:cNvGraphicFramePr>
              <a:graphicFrameLocks noChangeAspect="1"/>
            </wp:cNvGraphicFramePr>
            <a:graphic>
              <a:graphicData uri="http://schemas.openxmlformats.org/drawingml/2006/picture">
                <pic:pic>
                  <pic:nvPicPr>
                    <pic:cNvPr id="0" name="logo_new.png"/>
                    <pic:cNvPicPr/>
                  </pic:nvPicPr>
                  <pic:blipFill>
                    <a:blip r:embed="rId1"/>
                    <a:stretch>
                      <a:fillRect/>
                    </a:stretch>
                  </pic:blipFill>
                  <pic:spPr>
                    <a:xfrm>
                      <a:off x="0" y="0"/>
                      <a:ext cx="4140000" cy="420966"/>
                    </a:xfrm>
                    <a:prstGeom prst="rect"/>
                  </pic:spPr>
                </pic:pic>
              </a:graphicData>
            </a:graphic>
          </wp:inline>
        </w:drawing>
      </w:r>
    </w:hyperlink>
    <w:r>
      <w:tab/>
    </w:r>
    <w:r>
      <w:drawing>
        <wp:inline xmlns:a="http://schemas.openxmlformats.org/drawingml/2006/main" xmlns:pic="http://schemas.openxmlformats.org/drawingml/2006/picture">
          <wp:extent cx="675000" cy="180000"/>
          <wp:docPr id="2" name="Picture 2" descr="Open Access" title="Open Access"/>
          <wp:cNvGraphicFramePr>
            <a:graphicFrameLocks noChangeAspect="1"/>
          </wp:cNvGraphicFramePr>
          <a:graphic>
            <a:graphicData uri="http://schemas.openxmlformats.org/drawingml/2006/picture">
              <pic:pic>
                <pic:nvPicPr>
                  <pic:cNvPr id="0" name="open_access.png"/>
                  <pic:cNvPicPr/>
                </pic:nvPicPr>
                <pic:blipFill>
                  <a:blip r:embed="rId3"/>
                  <a:stretch>
                    <a:fillRect/>
                  </a:stretch>
                </pic:blipFill>
                <pic:spPr>
                  <a:xfrm>
                    <a:off x="0" y="0"/>
                    <a:ext cx="675000" cy="180000"/>
                  </a:xfrm>
                  <a:prstGeom prst="rect"/>
                </pic:spPr>
              </pic:pic>
            </a:graphicData>
          </a:graphic>
        </wp:inline>
      </w:drawing>
    </w:r>
  </w:p>
  <w:p>
    <w:pPr>
      <w:pBdr>
        <w:bottom w:val="single" w:sz="8" w:space="3" w:color="0F70B7"/>
      </w:pBdr>
    </w:pPr>
    <w:r>
      <w:rPr>
        <w:rFonts w:ascii="Arial" w:hAnsi="Arial"/>
        <w:color w:val="7F7F7F"/>
        <w:sz w:val="16"/>
      </w:rPr>
      <w:t xml:space="preserve">Published by ISAK · E-ISSN 2790-9816 · </w:t>
    </w:r>
    <w:hyperlink r:id="rId2">
      <w:r>
        <w:rPr>
          <w:rFonts w:ascii="Arial" w:hAnsi="Arial" w:cs="Arial"/>
          <w:color w:val="0F70B7"/>
          <w:sz w:val="16"/>
          <w:u w:val="single"/>
        </w:rPr>
        <w:t xml:space="preserve">revista.westeurope.cloudapp.azure.com/ijk</w:t>
      </w:r>
    </w:hyperlink>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0F70B7"/>
      </w:pBdr>
      <w:tabs>
        <w:tab w:pos="9638" w:val="right"/>
      </w:tabs>
    </w:pPr>
    <w:r>
      <w:rPr>
        <w:rFonts w:ascii="Arial" w:hAnsi="Arial"/>
        <w:b/>
        <w:color w:val="0F70B7"/>
        <w:sz w:val="16"/>
      </w:rPr>
      <w:t>Int. J. Kinanthrop. 2026, 6(2): 1–12</w:t>
    </w:r>
    <w:r>
      <w:rPr>
        <w:rFonts w:ascii="Arial" w:hAnsi="Arial"/>
        <w:i/>
        <w:color w:val="7F7F7F"/>
        <w:sz w:val="16"/>
      </w:rPr>
      <w:tab/>
      <w:t>Surname et 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jc w:val="both"/>
    </w:pPr>
    <w:rPr>
      <w:rFonts w:ascii="Arial" w:hAnsi="Arial" w:cs="Arial" w:eastAsia="Arial"/>
      <w:b w:val="0"/>
      <w:i w:val="0"/>
      <w:sz w:val="20"/>
      <w:lang w:val="en-GB"/>
    </w:rPr>
  </w:style>
  <w:style w:type="paragraph" w:styleId="Header">
    <w:name w:val="header"/>
    <w:basedOn w:val="Normal"/>
    <w:link w:val="HeaderChar"/>
    <w:uiPriority w:val="99"/>
    <w:unhideWhenUsed/>
    <w:rsid w:val="00E618BF"/>
    <w:pPr>
      <w:spacing w:after="0" w:line="240" w:lineRule="auto"/>
    </w:pPr>
    <w:rPr>
      <w:lang w:val="en-GB"/>
    </w:rPr>
  </w:style>
  <w:style w:type="character" w:customStyle="1" w:styleId="HeaderChar">
    <w:name w:val="Header Char"/>
    <w:basedOn w:val="DefaultParagraphFont"/>
    <w:link w:val="Header"/>
    <w:uiPriority w:val="99"/>
    <w:rsid w:val="00E618BF"/>
    <w:rPr>
      <w:lang w:val="en-GB"/>
    </w:rPr>
  </w:style>
  <w:style w:type="paragraph" w:styleId="Footer">
    <w:name w:val="footer"/>
    <w:basedOn w:val="Normal"/>
    <w:link w:val="FooterChar"/>
    <w:uiPriority w:val="99"/>
    <w:unhideWhenUsed/>
    <w:rsid w:val="00E618BF"/>
    <w:pPr>
      <w:spacing w:after="0" w:line="240" w:lineRule="auto"/>
    </w:pPr>
    <w:rPr>
      <w:lang w:val="en-GB"/>
    </w:rPr>
  </w:style>
  <w:style w:type="character" w:customStyle="1" w:styleId="FooterChar">
    <w:name w:val="Footer Char"/>
    <w:basedOn w:val="DefaultParagraphFont"/>
    <w:link w:val="Footer"/>
    <w:uiPriority w:val="99"/>
    <w:rsid w:val="00E618BF"/>
    <w:rPr>
      <w:lang w:val="en-GB"/>
    </w:rPr>
  </w:style>
  <w:style w:type="paragraph" w:styleId="Heading1">
    <w:name w:val="heading 1"/>
    <w:basedOn w:val="Normal"/>
    <w:next w:val="Normal"/>
    <w:link w:val="Heading1Char"/>
    <w:uiPriority w:val="9"/>
    <w:qFormat/>
    <w:rsid w:val="00FC693F"/>
    <w:pPr>
      <w:keepNext/>
      <w:keepLines/>
      <w:spacing w:before="240" w:after="80"/>
      <w:jc w:val="left"/>
      <w:outlineLvl w:val="0"/>
    </w:pPr>
    <w:rPr>
      <w:rFonts w:ascii="Arial" w:hAnsi="Arial" w:cs="Arial" w:eastAsia="Arial"/>
      <w:b/>
      <w:bCs/>
      <w:i w:val="0"/>
      <w:color w:val="0F70B7"/>
      <w:sz w:val="24"/>
      <w:szCs w:val="28"/>
      <w:lang w:val="en-GB"/>
    </w:rPr>
  </w:style>
  <w:style w:type="paragraph" w:styleId="Heading2">
    <w:name w:val="heading 2"/>
    <w:basedOn w:val="Normal"/>
    <w:next w:val="Normal"/>
    <w:link w:val="Heading2Char"/>
    <w:uiPriority w:val="9"/>
    <w:unhideWhenUsed/>
    <w:qFormat/>
    <w:rsid w:val="00FC693F"/>
    <w:pPr>
      <w:keepNext/>
      <w:keepLines/>
      <w:spacing w:before="160" w:after="80"/>
      <w:jc w:val="left"/>
      <w:outlineLvl w:val="1"/>
    </w:pPr>
    <w:rPr>
      <w:rFonts w:ascii="Arial" w:hAnsi="Arial" w:cs="Arial" w:eastAsia="Arial"/>
      <w:b/>
      <w:bCs/>
      <w:i w:val="0"/>
      <w:color w:val="000000"/>
      <w:sz w:val="21"/>
      <w:szCs w:val="26"/>
      <w:lang w:val="en-GB"/>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Arial" w:hAnsi="Arial" w:cs="Arial" w:eastAsia="Arial"/>
      <w:b/>
      <w:bCs/>
      <w:i/>
      <w:color w:val="000000"/>
      <w:sz w:val="20"/>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n-GB"/>
    </w:rPr>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C693F"/>
    <w:pPr>
      <w:ind w:left="720"/>
      <w:contextualSpacing/>
    </w:pPr>
    <w:rPr>
      <w:lang w:val="en-GB"/>
    </w:rPr>
  </w:style>
  <w:style w:type="paragraph" w:styleId="BodyText">
    <w:name w:val="Body Text"/>
    <w:basedOn w:val="Normal"/>
    <w:link w:val="BodyTextChar"/>
    <w:uiPriority w:val="99"/>
    <w:unhideWhenUsed/>
    <w:rsid w:val="00AA1D8D"/>
    <w:pPr>
      <w:spacing w:after="120"/>
    </w:pPr>
    <w:rPr>
      <w:lang w:val="en-GB"/>
    </w:rPr>
  </w:style>
  <w:style w:type="character" w:customStyle="1" w:styleId="BodyTextChar">
    <w:name w:val="Body Text Char"/>
    <w:basedOn w:val="DefaultParagraphFont"/>
    <w:link w:val="BodyText"/>
    <w:uiPriority w:val="99"/>
    <w:rsid w:val="00AA1D8D"/>
    <w:rPr>
      <w:lang w:val="en-GB"/>
    </w:rPr>
  </w:style>
  <w:style w:type="paragraph" w:styleId="BodyText2">
    <w:name w:val="Body Text 2"/>
    <w:basedOn w:val="Normal"/>
    <w:link w:val="BodyText2Char"/>
    <w:uiPriority w:val="99"/>
    <w:unhideWhenUsed/>
    <w:rsid w:val="00AA1D8D"/>
    <w:pPr>
      <w:spacing w:after="120" w:line="480" w:lineRule="auto"/>
    </w:pPr>
    <w:rPr>
      <w:lang w:val="en-GB"/>
    </w:rPr>
  </w:style>
  <w:style w:type="character" w:customStyle="1" w:styleId="BodyText2Char">
    <w:name w:val="Body Text 2 Char"/>
    <w:basedOn w:val="DefaultParagraphFont"/>
    <w:link w:val="BodyText2"/>
    <w:uiPriority w:val="99"/>
    <w:rsid w:val="00AA1D8D"/>
    <w:rPr>
      <w:lang w:val="en-GB"/>
    </w:rPr>
  </w:style>
  <w:style w:type="paragraph" w:styleId="BodyText3">
    <w:name w:val="Body Text 3"/>
    <w:basedOn w:val="Normal"/>
    <w:link w:val="BodyText3Char"/>
    <w:uiPriority w:val="99"/>
    <w:unhideWhenUsed/>
    <w:rsid w:val="00AA1D8D"/>
    <w:pPr>
      <w:spacing w:after="120"/>
    </w:pPr>
    <w:rPr>
      <w:sz w:val="16"/>
      <w:szCs w:val="16"/>
      <w:lang w:val="en-GB"/>
    </w:rPr>
  </w:style>
  <w:style w:type="character" w:customStyle="1" w:styleId="BodyText3Char">
    <w:name w:val="Body Text 3 Char"/>
    <w:basedOn w:val="DefaultParagraphFont"/>
    <w:link w:val="BodyText3"/>
    <w:uiPriority w:val="99"/>
    <w:rsid w:val="00AA1D8D"/>
    <w:rPr>
      <w:sz w:val="16"/>
      <w:szCs w:val="16"/>
      <w:lang w:val="en-GB"/>
    </w:rPr>
  </w:style>
  <w:style w:type="paragraph" w:styleId="List">
    <w:name w:val="List"/>
    <w:basedOn w:val="Normal"/>
    <w:uiPriority w:val="99"/>
    <w:unhideWhenUsed/>
    <w:rsid w:val="00AA1D8D"/>
    <w:pPr>
      <w:ind w:left="360" w:hanging="360"/>
      <w:contextualSpacing/>
    </w:pPr>
    <w:rPr>
      <w:lang w:val="en-GB"/>
    </w:rPr>
  </w:style>
  <w:style w:type="paragraph" w:styleId="List2">
    <w:name w:val="List 2"/>
    <w:basedOn w:val="Normal"/>
    <w:uiPriority w:val="99"/>
    <w:unhideWhenUsed/>
    <w:rsid w:val="00326F90"/>
    <w:pPr>
      <w:ind w:left="720" w:hanging="360"/>
      <w:contextualSpacing/>
    </w:pPr>
    <w:rPr>
      <w:lang w:val="en-GB"/>
    </w:rPr>
  </w:style>
  <w:style w:type="paragraph" w:styleId="List3">
    <w:name w:val="List 3"/>
    <w:basedOn w:val="Normal"/>
    <w:uiPriority w:val="99"/>
    <w:unhideWhenUsed/>
    <w:rsid w:val="00326F90"/>
    <w:pPr>
      <w:ind w:left="1080" w:hanging="360"/>
      <w:contextualSpacing/>
    </w:pPr>
    <w:rPr>
      <w:lang w:val="en-GB"/>
    </w:rPr>
  </w:style>
  <w:style w:type="paragraph" w:styleId="ListBullet">
    <w:name w:val="List Bullet"/>
    <w:basedOn w:val="Normal"/>
    <w:uiPriority w:val="99"/>
    <w:unhideWhenUsed/>
    <w:rsid w:val="00326F90"/>
    <w:pPr>
      <w:numPr>
        <w:numId w:val="1"/>
      </w:numPr>
      <w:contextualSpacing/>
    </w:pPr>
    <w:rPr>
      <w:lang w:val="en-GB"/>
    </w:rPr>
  </w:style>
  <w:style w:type="paragraph" w:styleId="ListBullet2">
    <w:name w:val="List Bullet 2"/>
    <w:basedOn w:val="Normal"/>
    <w:uiPriority w:val="99"/>
    <w:unhideWhenUsed/>
    <w:rsid w:val="00326F90"/>
    <w:pPr>
      <w:numPr>
        <w:numId w:val="2"/>
      </w:numPr>
      <w:contextualSpacing/>
    </w:pPr>
    <w:rPr>
      <w:lang w:val="en-GB"/>
    </w:rPr>
  </w:style>
  <w:style w:type="paragraph" w:styleId="ListBullet3">
    <w:name w:val="List Bullet 3"/>
    <w:basedOn w:val="Normal"/>
    <w:uiPriority w:val="99"/>
    <w:unhideWhenUsed/>
    <w:rsid w:val="00326F90"/>
    <w:pPr>
      <w:numPr>
        <w:numId w:val="3"/>
      </w:numPr>
      <w:contextualSpacing/>
    </w:pPr>
    <w:rPr>
      <w:lang w:val="en-GB"/>
    </w:rPr>
  </w:style>
  <w:style w:type="paragraph" w:styleId="ListNumber">
    <w:name w:val="List Number"/>
    <w:basedOn w:val="Normal"/>
    <w:uiPriority w:val="99"/>
    <w:unhideWhenUsed/>
    <w:rsid w:val="00326F90"/>
    <w:pPr>
      <w:numPr>
        <w:numId w:val="5"/>
      </w:numPr>
      <w:contextualSpacing/>
    </w:pPr>
    <w:rPr>
      <w:lang w:val="en-GB"/>
    </w:rPr>
  </w:style>
  <w:style w:type="paragraph" w:styleId="ListNumber2">
    <w:name w:val="List Number 2"/>
    <w:basedOn w:val="Normal"/>
    <w:uiPriority w:val="99"/>
    <w:unhideWhenUsed/>
    <w:rsid w:val="0029639D"/>
    <w:pPr>
      <w:numPr>
        <w:numId w:val="6"/>
      </w:numPr>
      <w:contextualSpacing/>
    </w:pPr>
    <w:rPr>
      <w:lang w:val="en-GB"/>
    </w:rPr>
  </w:style>
  <w:style w:type="paragraph" w:styleId="ListNumber3">
    <w:name w:val="List Number 3"/>
    <w:basedOn w:val="Normal"/>
    <w:uiPriority w:val="99"/>
    <w:unhideWhenUsed/>
    <w:rsid w:val="0029639D"/>
    <w:pPr>
      <w:numPr>
        <w:numId w:val="7"/>
      </w:numPr>
      <w:contextualSpacing/>
    </w:pPr>
    <w:rPr>
      <w:lang w:val="en-GB"/>
    </w:rPr>
  </w:style>
  <w:style w:type="paragraph" w:styleId="ListContinue">
    <w:name w:val="List Continue"/>
    <w:basedOn w:val="Normal"/>
    <w:uiPriority w:val="99"/>
    <w:unhideWhenUsed/>
    <w:rsid w:val="0029639D"/>
    <w:pPr>
      <w:spacing w:after="120"/>
      <w:ind w:left="360"/>
      <w:contextualSpacing/>
    </w:pPr>
    <w:rPr>
      <w:lang w:val="en-GB"/>
    </w:rPr>
  </w:style>
  <w:style w:type="paragraph" w:styleId="ListContinue2">
    <w:name w:val="List Continue 2"/>
    <w:basedOn w:val="Normal"/>
    <w:uiPriority w:val="99"/>
    <w:unhideWhenUsed/>
    <w:rsid w:val="0029639D"/>
    <w:pPr>
      <w:spacing w:after="120"/>
      <w:ind w:left="720"/>
      <w:contextualSpacing/>
    </w:pPr>
    <w:rPr>
      <w:lang w:val="en-GB"/>
    </w:rPr>
  </w:style>
  <w:style w:type="paragraph" w:styleId="ListContinue3">
    <w:name w:val="List Continue 3"/>
    <w:basedOn w:val="Normal"/>
    <w:uiPriority w:val="99"/>
    <w:unhideWhenUsed/>
    <w:rsid w:val="0029639D"/>
    <w:pPr>
      <w:spacing w:after="120"/>
      <w:ind w:left="1080"/>
      <w:contextualSpacing/>
    </w:pPr>
    <w:rPr>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lang w:val="en-GB"/>
    </w:rPr>
  </w:style>
  <w:style w:type="paragraph" w:styleId="Quote">
    <w:name w:val="Quote"/>
    <w:basedOn w:val="Normal"/>
    <w:next w:val="Normal"/>
    <w:link w:val="QuoteChar"/>
    <w:uiPriority w:val="29"/>
    <w:qFormat/>
    <w:rsid w:val="00FC693F"/>
    <w:rPr>
      <w:i/>
      <w:iCs/>
      <w:color w:val="000000" w:themeColor="text1"/>
      <w:lang w:val="en-GB"/>
    </w:rPr>
  </w:style>
  <w:style w:type="character" w:customStyle="1" w:styleId="QuoteChar">
    <w:name w:val="Quote Char"/>
    <w:basedOn w:val="DefaultParagraphFont"/>
    <w:link w:val="Quote"/>
    <w:uiPriority w:val="29"/>
    <w:rsid w:val="00FC693F"/>
    <w:rPr>
      <w:i/>
      <w:iCs/>
      <w:color w:val="000000" w:themeColor="text1"/>
      <w:lang w:val="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rPr>
  </w:style>
  <w:style w:type="character" w:styleId="Strong">
    <w:name w:val="Strong"/>
    <w:basedOn w:val="DefaultParagraphFont"/>
    <w:uiPriority w:val="22"/>
    <w:qFormat/>
    <w:rsid w:val="00FC693F"/>
    <w:rPr>
      <w:b/>
      <w:bCs/>
      <w:lang w:val="en-GB"/>
    </w:rPr>
  </w:style>
  <w:style w:type="character" w:styleId="Emphasis">
    <w:name w:val="Emphasis"/>
    <w:basedOn w:val="DefaultParagraphFont"/>
    <w:uiPriority w:val="20"/>
    <w:qFormat/>
    <w:rsid w:val="00FC693F"/>
    <w:rPr>
      <w:i/>
      <w:iCs/>
      <w:lang w:val="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sid w:val="00FC693F"/>
    <w:rPr>
      <w:b/>
      <w:bCs/>
      <w:i/>
      <w:iCs/>
      <w:color w:val="4F81BD" w:themeColor="accent1"/>
      <w:lang w:val="en-GB"/>
    </w:rPr>
  </w:style>
  <w:style w:type="character" w:styleId="SubtleEmphasis">
    <w:name w:val="Subtle Emphasis"/>
    <w:basedOn w:val="DefaultParagraphFont"/>
    <w:uiPriority w:val="19"/>
    <w:qFormat/>
    <w:rsid w:val="00FC693F"/>
    <w:rPr>
      <w:i/>
      <w:iCs/>
      <w:color w:val="808080" w:themeColor="text1" w:themeTint="7F"/>
      <w:lang w:val="en-GB"/>
    </w:rPr>
  </w:style>
  <w:style w:type="character" w:styleId="IntenseEmphasis">
    <w:name w:val="Intense Emphasis"/>
    <w:basedOn w:val="DefaultParagraphFont"/>
    <w:uiPriority w:val="21"/>
    <w:qFormat/>
    <w:rsid w:val="00FC693F"/>
    <w:rPr>
      <w:b/>
      <w:bCs/>
      <w:i/>
      <w:iCs/>
      <w:color w:val="4F81BD" w:themeColor="accent1"/>
      <w:lang w:val="en-GB"/>
    </w:rPr>
  </w:style>
  <w:style w:type="character" w:styleId="SubtleReference">
    <w:name w:val="Subtle Reference"/>
    <w:basedOn w:val="DefaultParagraphFont"/>
    <w:uiPriority w:val="31"/>
    <w:qFormat/>
    <w:rsid w:val="00FC693F"/>
    <w:rPr>
      <w:smallCaps/>
      <w:color w:val="C0504D" w:themeColor="accent2"/>
      <w:u w:val="single"/>
      <w:lang w:val="en-GB"/>
    </w:rPr>
  </w:style>
  <w:style w:type="character" w:styleId="IntenseReference">
    <w:name w:val="Intense Reference"/>
    <w:basedOn w:val="DefaultParagraphFont"/>
    <w:uiPriority w:val="32"/>
    <w:qFormat/>
    <w:rsid w:val="00FC693F"/>
    <w:rPr>
      <w:b/>
      <w:bCs/>
      <w:smallCaps/>
      <w:color w:val="C0504D" w:themeColor="accent2"/>
      <w:spacing w:val="5"/>
      <w:u w:val="single"/>
      <w:lang w:val="en-GB"/>
    </w:rPr>
  </w:style>
  <w:style w:type="character" w:styleId="BookTitle">
    <w:name w:val="Book Title"/>
    <w:basedOn w:val="DefaultParagraphFont"/>
    <w:uiPriority w:val="33"/>
    <w:qFormat/>
    <w:rsid w:val="00FC693F"/>
    <w:rPr>
      <w:b/>
      <w:bCs/>
      <w:smallCaps/>
      <w:spacing w:val="5"/>
      <w:lang w:val="en-GB"/>
    </w:rPr>
  </w:style>
  <w:style w:type="paragraph" w:styleId="TOCHeading">
    <w:name w:val="TOC Heading"/>
    <w:basedOn w:val="Heading1"/>
    <w:next w:val="Normal"/>
    <w:uiPriority w:val="39"/>
    <w:semiHidden/>
    <w:unhideWhenUsed/>
    <w:qFormat/>
    <w:rsid w:val="00FC693F"/>
    <w:pPr>
      <w:outlineLvl w:val="9"/>
    </w:pPr>
    <w:rPr>
      <w:lang w:val="en-GB"/>
    </w:rPr>
  </w:style>
  <w:style w:type="table" w:styleId="TableGrid">
    <w:name w:val="Table Grid"/>
    <w:basedOn w:val="TableNormal"/>
    <w:uiPriority w:val="59"/>
    <w:rsid w:val="00FC693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Body">
    <w:name w:val="IJK Body"/>
    <w:basedOn w:val="Normal"/>
    <w:pPr>
      <w:spacing w:before="0" w:after="120" w:line="276" w:lineRule="auto"/>
      <w:jc w:val="both"/>
    </w:pPr>
    <w:rPr>
      <w:rFonts w:ascii="Arial" w:hAnsi="Arial" w:cs="Arial" w:eastAsia="Arial"/>
      <w:b w:val="0"/>
      <w:i w:val="0"/>
      <w:sz w:val="20"/>
      <w:lang w:val="en-GB"/>
    </w:rPr>
  </w:style>
  <w:style w:type="paragraph" w:customStyle="1" w:styleId="IJKGuide">
    <w:name w:val="IJK Guide"/>
    <w:basedOn w:val="Normal"/>
    <w:pPr>
      <w:spacing w:before="0" w:after="80" w:line="276" w:lineRule="auto"/>
    </w:pPr>
    <w:rPr>
      <w:rFonts w:ascii="Arial" w:hAnsi="Arial" w:cs="Arial" w:eastAsia="Arial"/>
      <w:b w:val="0"/>
      <w:i/>
      <w:color w:val="7F7F7F"/>
      <w:sz w:val="18"/>
      <w:lang w:val="en-GB"/>
    </w:rPr>
  </w:style>
  <w:style w:type="paragraph" w:customStyle="1" w:styleId="IJKArticleType">
    <w:name w:val="IJK Article Type"/>
    <w:basedOn w:val="Normal"/>
    <w:pPr>
      <w:spacing w:before="0" w:after="80" w:line="276" w:lineRule="auto"/>
    </w:pPr>
    <w:rPr>
      <w:rFonts w:ascii="Arial" w:hAnsi="Arial" w:cs="Arial" w:eastAsia="Arial"/>
      <w:b/>
      <w:i w:val="0"/>
      <w:color w:val="0F70B7"/>
      <w:sz w:val="17"/>
      <w:lang w:val="en-GB"/>
    </w:rPr>
  </w:style>
  <w:style w:type="paragraph" w:customStyle="1" w:styleId="IJKTitle">
    <w:name w:val="IJK Title"/>
    <w:basedOn w:val="Normal"/>
    <w:pPr>
      <w:spacing w:before="120" w:after="120" w:line="252" w:lineRule="auto"/>
      <w:jc w:val="left"/>
    </w:pPr>
    <w:rPr>
      <w:rFonts w:ascii="Arial" w:hAnsi="Arial" w:cs="Arial" w:eastAsia="Arial"/>
      <w:b/>
      <w:i w:val="0"/>
      <w:color w:val="0F70B7"/>
      <w:sz w:val="32"/>
      <w:lang w:val="en-GB"/>
    </w:rPr>
  </w:style>
  <w:style w:type="paragraph" w:customStyle="1" w:styleId="IJKTitleTranslated">
    <w:name w:val="IJK Title Translated"/>
    <w:basedOn w:val="Normal"/>
    <w:pPr>
      <w:keepNext/>
      <w:spacing w:before="200" w:after="80" w:line="276" w:lineRule="auto"/>
      <w:jc w:val="left"/>
    </w:pPr>
    <w:rPr>
      <w:rFonts w:ascii="Arial" w:hAnsi="Arial" w:cs="Arial" w:eastAsia="Arial"/>
      <w:b/>
      <w:i/>
      <w:color w:val="0F70B7"/>
      <w:sz w:val="22"/>
      <w:lang w:val="en-GB"/>
    </w:rPr>
  </w:style>
  <w:style w:type="paragraph" w:customStyle="1" w:styleId="IJKAuthors">
    <w:name w:val="IJK Authors"/>
    <w:basedOn w:val="Normal"/>
    <w:pPr>
      <w:spacing w:before="80" w:after="80" w:line="276" w:lineRule="auto"/>
      <w:jc w:val="left"/>
    </w:pPr>
    <w:rPr>
      <w:rFonts w:ascii="Arial" w:hAnsi="Arial" w:cs="Arial" w:eastAsia="Arial"/>
      <w:b/>
      <w:i w:val="0"/>
      <w:sz w:val="22"/>
      <w:lang w:val="en-GB"/>
    </w:rPr>
  </w:style>
  <w:style w:type="paragraph" w:customStyle="1" w:styleId="IJKAffiliation">
    <w:name w:val="IJK Affiliation"/>
    <w:basedOn w:val="Normal"/>
    <w:pPr>
      <w:spacing w:before="0" w:after="20" w:line="276" w:lineRule="auto"/>
      <w:jc w:val="left"/>
    </w:pPr>
    <w:rPr>
      <w:rFonts w:ascii="Arial" w:hAnsi="Arial" w:cs="Arial" w:eastAsia="Arial"/>
      <w:b w:val="0"/>
      <w:i w:val="0"/>
      <w:sz w:val="17"/>
      <w:lang w:val="en-GB"/>
    </w:rPr>
  </w:style>
  <w:style w:type="paragraph" w:customStyle="1" w:styleId="IJKArticleInfo">
    <w:name w:val="IJK Article Info"/>
    <w:basedOn w:val="Normal"/>
    <w:pPr>
      <w:spacing w:before="0" w:after="20" w:line="276" w:lineRule="auto"/>
      <w:jc w:val="left"/>
    </w:pPr>
    <w:rPr>
      <w:rFonts w:ascii="Arial" w:hAnsi="Arial" w:cs="Arial" w:eastAsia="Arial"/>
      <w:b w:val="0"/>
      <w:i w:val="0"/>
      <w:sz w:val="17"/>
      <w:lang w:val="en-GB"/>
    </w:rPr>
  </w:style>
  <w:style w:type="paragraph" w:customStyle="1" w:styleId="IJKAbstractHeading">
    <w:name w:val="IJK Abstract Heading"/>
    <w:basedOn w:val="Normal"/>
    <w:pPr>
      <w:keepNext/>
      <w:spacing w:before="200" w:after="80" w:line="276" w:lineRule="auto"/>
      <w:jc w:val="center"/>
    </w:pPr>
    <w:rPr>
      <w:rFonts w:ascii="Arial" w:hAnsi="Arial" w:cs="Arial" w:eastAsia="Arial"/>
      <w:b/>
      <w:i w:val="0"/>
      <w:color w:val="0F70B7"/>
      <w:sz w:val="22"/>
      <w:lang w:val="en-GB"/>
    </w:rPr>
  </w:style>
  <w:style w:type="paragraph" w:customStyle="1" w:styleId="IJKAbstract">
    <w:name w:val="IJK Abstract"/>
    <w:basedOn w:val="Normal"/>
    <w:pPr>
      <w:spacing w:before="0" w:after="60" w:line="276" w:lineRule="auto"/>
      <w:jc w:val="both"/>
    </w:pPr>
    <w:rPr>
      <w:rFonts w:ascii="Arial" w:hAnsi="Arial" w:cs="Arial" w:eastAsia="Arial"/>
      <w:b w:val="0"/>
      <w:i w:val="0"/>
      <w:sz w:val="19"/>
      <w:lang w:val="en-GB"/>
    </w:rPr>
  </w:style>
  <w:style w:type="paragraph" w:customStyle="1" w:styleId="IJKKeywords">
    <w:name w:val="IJK Keywords"/>
    <w:basedOn w:val="Normal"/>
    <w:pPr>
      <w:spacing w:before="80" w:after="160" w:line="276" w:lineRule="auto"/>
      <w:jc w:val="left"/>
    </w:pPr>
    <w:rPr>
      <w:rFonts w:ascii="Arial" w:hAnsi="Arial" w:cs="Arial" w:eastAsia="Arial"/>
      <w:b w:val="0"/>
      <w:i w:val="0"/>
      <w:sz w:val="19"/>
      <w:lang w:val="en-GB"/>
    </w:rPr>
  </w:style>
  <w:style w:type="paragraph" w:customStyle="1" w:styleId="IJKTableCaption">
    <w:name w:val="IJK Table Caption"/>
    <w:basedOn w:val="Normal"/>
    <w:pPr>
      <w:keepNext/>
      <w:spacing w:before="160" w:after="60" w:line="276" w:lineRule="auto"/>
      <w:jc w:val="left"/>
    </w:pPr>
    <w:rPr>
      <w:rFonts w:ascii="Arial" w:hAnsi="Arial" w:cs="Arial" w:eastAsia="Arial"/>
      <w:b w:val="0"/>
      <w:i w:val="0"/>
      <w:sz w:val="18"/>
      <w:lang w:val="en-GB"/>
    </w:rPr>
  </w:style>
  <w:style w:type="paragraph" w:customStyle="1" w:styleId="IJKTableText">
    <w:name w:val="IJK Table Text"/>
    <w:basedOn w:val="Normal"/>
    <w:pPr>
      <w:spacing w:before="0" w:after="0" w:line="240" w:lineRule="auto"/>
      <w:jc w:val="left"/>
    </w:pPr>
    <w:rPr>
      <w:rFonts w:ascii="Arial" w:hAnsi="Arial" w:cs="Arial" w:eastAsia="Arial"/>
      <w:b w:val="0"/>
      <w:i w:val="0"/>
      <w:sz w:val="17"/>
      <w:lang w:val="en-GB"/>
    </w:rPr>
  </w:style>
  <w:style w:type="paragraph" w:customStyle="1" w:styleId="IJKTableNote">
    <w:name w:val="IJK Table Note"/>
    <w:basedOn w:val="Normal"/>
    <w:pPr>
      <w:spacing w:before="40" w:after="160" w:line="276" w:lineRule="auto"/>
      <w:jc w:val="left"/>
    </w:pPr>
    <w:rPr>
      <w:rFonts w:ascii="Arial" w:hAnsi="Arial" w:cs="Arial" w:eastAsia="Arial"/>
      <w:b w:val="0"/>
      <w:i w:val="0"/>
      <w:sz w:val="16"/>
      <w:lang w:val="en-GB"/>
    </w:rPr>
  </w:style>
  <w:style w:type="paragraph" w:customStyle="1" w:styleId="IJKFigure">
    <w:name w:val="IJK Figure"/>
    <w:basedOn w:val="Normal"/>
    <w:pPr>
      <w:spacing w:before="0" w:after="0" w:line="276" w:lineRule="auto"/>
      <w:jc w:val="center"/>
    </w:pPr>
    <w:rPr>
      <w:rFonts w:ascii="Arial" w:hAnsi="Arial" w:cs="Arial" w:eastAsia="Arial"/>
      <w:b w:val="0"/>
      <w:i/>
      <w:color w:val="7F7F7F"/>
      <w:sz w:val="18"/>
      <w:lang w:val="en-GB"/>
    </w:rPr>
  </w:style>
  <w:style w:type="paragraph" w:customStyle="1" w:styleId="IJKFigureCaption">
    <w:name w:val="IJK Figure Caption"/>
    <w:basedOn w:val="Normal"/>
    <w:pPr>
      <w:spacing w:before="60" w:after="160" w:line="276" w:lineRule="auto"/>
      <w:jc w:val="left"/>
    </w:pPr>
    <w:rPr>
      <w:rFonts w:ascii="Arial" w:hAnsi="Arial" w:cs="Arial" w:eastAsia="Arial"/>
      <w:b w:val="0"/>
      <w:i w:val="0"/>
      <w:sz w:val="18"/>
      <w:lang w:val="en-GB"/>
    </w:rPr>
  </w:style>
  <w:style w:type="paragraph" w:customStyle="1" w:styleId="IJKBackMatterHeading">
    <w:name w:val="IJK Back Matter Heading"/>
    <w:basedOn w:val="Normal"/>
    <w:pPr>
      <w:keepNext/>
      <w:spacing w:before="160" w:after="40" w:line="276" w:lineRule="auto"/>
    </w:pPr>
    <w:rPr>
      <w:rFonts w:ascii="Arial" w:hAnsi="Arial" w:cs="Arial" w:eastAsia="Arial"/>
      <w:b/>
      <w:i w:val="0"/>
      <w:color w:val="0F70B7"/>
      <w:sz w:val="20"/>
      <w:lang w:val="en-GB"/>
    </w:rPr>
  </w:style>
  <w:style w:type="paragraph" w:customStyle="1" w:styleId="IJKBackMatter">
    <w:name w:val="IJK Back Matter"/>
    <w:basedOn w:val="Normal"/>
    <w:pPr>
      <w:spacing w:before="0" w:after="80" w:line="276" w:lineRule="auto"/>
      <w:jc w:val="both"/>
    </w:pPr>
    <w:rPr>
      <w:rFonts w:ascii="Arial" w:hAnsi="Arial" w:cs="Arial" w:eastAsia="Arial"/>
      <w:b w:val="0"/>
      <w:i w:val="0"/>
      <w:sz w:val="18"/>
      <w:lang w:val="en-GB"/>
    </w:rPr>
  </w:style>
  <w:style w:type="paragraph" w:customStyle="1" w:styleId="IJKReference">
    <w:name w:val="IJK Reference"/>
    <w:basedOn w:val="Normal"/>
    <w:pPr>
      <w:spacing w:before="0" w:after="80" w:line="276" w:lineRule="auto"/>
      <w:ind w:left="425" w:hanging="425"/>
      <w:jc w:val="left"/>
    </w:pPr>
    <w:rPr>
      <w:rFonts w:ascii="Arial" w:hAnsi="Arial" w:cs="Arial" w:eastAsia="Arial"/>
      <w:b w:val="0"/>
      <w:i w:val="0"/>
      <w:sz w:val="18"/>
      <w:lang w:val="en-GB"/>
    </w:rPr>
  </w:style>
  <w:style w:type="paragraph" w:customStyle="1" w:styleId="IJKSmall">
    <w:name w:val="IJK Small"/>
    <w:basedOn w:val="Normal"/>
    <w:pPr>
      <w:spacing w:before="0" w:after="0" w:line="240" w:lineRule="auto"/>
      <w:jc w:val="left"/>
    </w:pPr>
    <w:rPr>
      <w:rFonts w:ascii="Arial" w:hAnsi="Arial" w:cs="Arial" w:eastAsia="Arial"/>
      <w:b w:val="0"/>
      <w:i w:val="0"/>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doi.org/10.34256/ijkXXXX" TargetMode="External"/><Relationship Id="rId14" Type="http://schemas.openxmlformats.org/officeDocument/2006/relationships/image" Target="media/image3.png"/><Relationship Id="rId15" Type="http://schemas.openxmlformats.org/officeDocument/2006/relationships/hyperlink" Target="https://orcid.org/0000-0000-0000-0000" TargetMode="External"/><Relationship Id="rId16" Type="http://schemas.openxmlformats.org/officeDocument/2006/relationships/hyperlink" Target="mailto:email@institution.org" TargetMode="External"/><Relationship Id="rId17" Type="http://schemas.openxmlformats.org/officeDocument/2006/relationships/image" Target="media/image4.png"/><Relationship Id="rId18" Type="http://schemas.openxmlformats.org/officeDocument/2006/relationships/hyperlink" Target="https://creativecommons.org/licenses/by/4.0/" TargetMode="External"/><Relationship Id="rId19" Type="http://schemas.openxmlformats.org/officeDocument/2006/relationships/image" Target="media/image2.png"/><Relationship Id="rId20" Type="http://schemas.openxmlformats.org/officeDocument/2006/relationships/hyperlink" Target="https://doi.org/10.xxxx/xxxx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10.34256/ijkXXX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34256/ijk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revista.westeurope.cloudapp.azure.com/ijk" TargetMode="External"/><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IJK – Published article layout</dc:title>
  <dc:subject>International Journal of Kinanthropometry · E-ISSN 2790-9816</dc:subject>
  <dc:creator>International Journal of Kinanthropometry (ISAK)</dc:creator>
  <cp:keywords>IJK; layout; typesetting; JATS</cp:keywords>
  <dc:description/>
  <cp:lastModifiedBy>IJK</cp:lastModifiedBy>
  <cp:revision>1</cp:revision>
  <dcterms:created xsi:type="dcterms:W3CDTF">2013-12-23T23:15:00Z</dcterms:created>
  <dcterms:modified xsi:type="dcterms:W3CDTF">2013-12-23T23:15:00Z</dcterms:modified>
  <cp:category>International Journal of Kinanthropometry · E-ISSN 2790-9816</cp:category>
  <dc:language>en-GB</dc:language>
</cp:coreProperties>
</file>