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IJKGuide"/>
      </w:pPr>
      <w:r>
        <w:rPr>
          <w:i/>
          <w:color w:val="7F7F7F"/>
        </w:rPr>
        <w:t>[Este documento muestra cómo quedará un artículo aceptado en IJK una vez maquetado. Sirve de referencia para los autores y de especificación para el maquetador; las notas de producción del final no forman parte del artículo.]</w:t>
      </w:r>
    </w:p>
    <w:tbl>
      <w:tblPr>
        <w:tblW w:type="dxa" w:w="9637"/>
        <w:jc w:val="center"/>
        <w:tblBorders>
          <w:top w:val="nil"/>
          <w:left w:val="nil"/>
          <w:bottom w:val="nil"/>
          <w:right w:val="nil"/>
          <w:insideH w:val="nil"/>
          <w:insideV w:val="nil"/>
        </w:tblBorders>
        <w:tblLayout w:type="fixed"/>
        <w:tblLook w:firstColumn="1" w:firstRow="1" w:lastColumn="0" w:lastRow="0" w:noHBand="0" w:noVBand="1" w:val="04A0"/>
      </w:tblPr>
      <w:tblGrid>
        <w:gridCol w:w="4818"/>
        <w:gridCol w:w="4818"/>
      </w:tblGrid>
      <w:tr>
        <w:tc>
          <w:tcPr>
            <w:tcW w:type="dxa" w:w="4819"/>
            <w:shd w:val="clear" w:color="auto" w:fill="0F70B7"/>
            <w:tcMar>
              <w:top w:w="50" w:type="dxa"/>
              <w:bottom w:w="50" w:type="dxa"/>
              <w:left w:w="120" w:type="dxa"/>
              <w:right w:w="120" w:type="dxa"/>
            </w:tcMar>
          </w:tcPr>
          <w:p>
            <w:pPr>
              <w:pStyle w:val="IJKSmall"/>
            </w:pPr>
            <w:r>
              <w:rPr>
                <w:b/>
                <w:color w:val="FFFFFF"/>
                <w:sz w:val="18"/>
              </w:rPr>
              <w:t>ARTÍCULO ORIGINAL</w:t>
            </w:r>
          </w:p>
        </w:tc>
        <w:tc>
          <w:tcPr>
            <w:tcW w:type="dxa" w:w="4819"/>
            <w:shd w:val="clear" w:color="auto" w:fill="0F70B7"/>
            <w:tcMar>
              <w:top w:w="50" w:type="dxa"/>
              <w:bottom w:w="50" w:type="dxa"/>
              <w:left w:w="120" w:type="dxa"/>
              <w:right w:w="120" w:type="dxa"/>
            </w:tcMar>
          </w:tcPr>
          <w:p>
            <w:pPr>
              <w:pStyle w:val="IJKSmall"/>
              <w:jc w:val="right"/>
            </w:pPr>
            <w:r>
              <w:rPr>
                <w:b/>
                <w:color w:val="FFFFFF"/>
                <w:sz w:val="18"/>
              </w:rPr>
              <w:t xml:space="preserve">DOI: </w:t>
            </w:r>
            <w:hyperlink r:id="rId13">
              <w:r>
                <w:rPr>
                  <w:rFonts w:ascii="Arial" w:hAnsi="Arial" w:cs="Arial"/>
                  <w:b/>
                  <w:color w:val="FFFFFF"/>
                  <w:sz w:val="18"/>
                </w:rPr>
                <w:t xml:space="preserve">10.34256/ijkXXXX</w:t>
              </w:r>
            </w:hyperlink>
          </w:p>
        </w:tc>
      </w:tr>
    </w:tbl>
    <w:p>
      <w:pPr>
        <w:pStyle w:val="IJKTitle"/>
        <w:spacing w:before="200"/>
      </w:pPr>
      <w:r>
        <w:t>Título del manuscrito: conciso e informativo</w:t>
      </w:r>
    </w:p>
    <w:p>
      <w:pPr>
        <w:pStyle w:val="IJKAuthors"/>
      </w:pPr>
      <w:r>
        <w:t>Nombre Segundo-nombre Apellido</w:t>
      </w:r>
      <w:r>
        <w:rPr>
          <w:vertAlign w:val="superscript"/>
        </w:rPr>
        <w:t>1*</w:t>
      </w:r>
      <w:r>
        <w:t xml:space="preserve"> </w:t>
      </w:r>
      <w:hyperlink r:id="rId15">
        <w:r>
          <w:drawing>
            <wp:inline xmlns:a="http://schemas.openxmlformats.org/drawingml/2006/main" xmlns:pic="http://schemas.openxmlformats.org/drawingml/2006/picture">
              <wp:extent cx="114300" cy="114300"/>
              <wp:docPr id="1" name="Picture 1"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r>
        <w:t xml:space="preserve">, </w:t>
      </w:r>
      <w:r>
        <w:t>Nombre Apellido</w:t>
      </w:r>
      <w:r>
        <w:rPr>
          <w:vertAlign w:val="superscript"/>
        </w:rPr>
        <w:t>2</w:t>
      </w:r>
      <w:r>
        <w:t xml:space="preserve"> </w:t>
      </w:r>
      <w:hyperlink r:id="rId15">
        <w:r>
          <w:drawing>
            <wp:inline xmlns:a="http://schemas.openxmlformats.org/drawingml/2006/main" xmlns:pic="http://schemas.openxmlformats.org/drawingml/2006/picture">
              <wp:extent cx="114300" cy="114300"/>
              <wp:docPr id="2" name="Picture 2"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r>
        <w:t xml:space="preserve">, </w:t>
      </w:r>
      <w:r>
        <w:t>Nombre Apellido</w:t>
      </w:r>
      <w:r>
        <w:rPr>
          <w:vertAlign w:val="superscript"/>
        </w:rPr>
        <w:t>1,2</w:t>
      </w:r>
      <w:r>
        <w:t xml:space="preserve"> </w:t>
      </w:r>
      <w:hyperlink r:id="rId15">
        <w:r>
          <w:drawing>
            <wp:inline xmlns:a="http://schemas.openxmlformats.org/drawingml/2006/main" xmlns:pic="http://schemas.openxmlformats.org/drawingml/2006/picture">
              <wp:extent cx="114300" cy="114300"/>
              <wp:docPr id="3" name="Picture 3"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p>
    <w:p>
      <w:pPr>
        <w:pStyle w:val="IJKAffiliation"/>
      </w:pPr>
      <w:r>
        <w:rPr>
          <w:vertAlign w:val="superscript"/>
        </w:rPr>
        <w:t>1</w:t>
      </w:r>
      <w:r>
        <w:t xml:space="preserve"> Departamento, Facultad, Universidad o Institución (sin abreviaturas), Ciudad, País.</w:t>
      </w:r>
    </w:p>
    <w:p>
      <w:pPr>
        <w:pStyle w:val="IJKAffiliation"/>
      </w:pPr>
      <w:r>
        <w:rPr>
          <w:vertAlign w:val="superscript"/>
        </w:rPr>
        <w:t>2</w:t>
      </w:r>
      <w:r>
        <w:t xml:space="preserve"> Departamento, Facultad, Universidad o Institución (sin abreviaturas), Ciudad, País.</w:t>
      </w:r>
    </w:p>
    <w:p>
      <w:pPr>
        <w:pStyle w:val="IJKArticleInfo"/>
        <w:spacing w:before="80"/>
      </w:pPr>
      <w:r>
        <w:rPr>
          <w:b/>
        </w:rPr>
        <w:t xml:space="preserve">* Autor de correspondencia: </w:t>
      </w:r>
      <w:r>
        <w:t xml:space="preserve">Nombre Apellido, </w:t>
      </w:r>
      <w:hyperlink r:id="rId16">
        <w:r>
          <w:rPr>
            <w:rFonts w:ascii="Arial" w:hAnsi="Arial" w:cs="Arial"/>
            <w:color w:val="0F70B7"/>
            <w:u w:val="single"/>
          </w:rPr>
          <w:t xml:space="preserve">correo@institucion.org</w:t>
        </w:r>
      </w:hyperlink>
    </w:p>
    <w:p>
      <w:pPr>
        <w:spacing w:after="0"/>
      </w:pPr>
    </w:p>
    <w:tbl>
      <w:tblPr>
        <w:tblW w:type="dxa" w:w="9637"/>
        <w:jc w:val="center"/>
        <w:tblBorders>
          <w:top w:val="single" w:sz="8" w:color="0F70B7"/>
          <w:left w:val="nil"/>
          <w:bottom w:val="single" w:sz="8" w:color="0F70B7"/>
          <w:right w:val="nil"/>
          <w:insideH w:val="nil"/>
          <w:insideV w:val="nil"/>
        </w:tblBorders>
        <w:tblLayout w:type="fixed"/>
        <w:tblLook w:firstColumn="1" w:firstRow="1" w:lastColumn="0" w:lastRow="0" w:noHBand="0" w:noVBand="1" w:val="04A0"/>
      </w:tblPr>
      <w:tblGrid>
        <w:gridCol w:w="2948"/>
        <w:gridCol w:w="6689"/>
      </w:tblGrid>
      <w:tr>
        <w:tc>
          <w:tcPr>
            <w:tcW w:type="dxa" w:w="2948"/>
            <w:shd w:val="clear" w:color="auto" w:fill="EAF3FA"/>
            <w:tcMar>
              <w:top w:w="100" w:type="dxa"/>
              <w:bottom w:w="100" w:type="dxa"/>
              <w:left w:w="140" w:type="dxa"/>
              <w:right w:w="140" w:type="dxa"/>
            </w:tcMar>
          </w:tcPr>
          <w:p>
            <w:pPr>
              <w:pStyle w:val="IJKBackMatterHeading"/>
              <w:spacing w:before="0"/>
            </w:pPr>
            <w:r>
              <w:t>Información del artículo</w:t>
            </w:r>
          </w:p>
          <w:p>
            <w:pPr>
              <w:pStyle w:val="IJKSmall"/>
            </w:pPr>
            <w:r>
              <w:rPr>
                <w:b/>
              </w:rPr>
              <w:t xml:space="preserve">Recibido: </w:t>
            </w:r>
            <w:r>
              <w:t>00 de mes de 2026</w:t>
            </w:r>
          </w:p>
          <w:p>
            <w:pPr>
              <w:pStyle w:val="IJKSmall"/>
            </w:pPr>
            <w:r>
              <w:rPr>
                <w:b/>
              </w:rPr>
              <w:t xml:space="preserve">Revisado: </w:t>
            </w:r>
            <w:r>
              <w:t>00 de mes de 2026</w:t>
            </w:r>
          </w:p>
          <w:p>
            <w:pPr>
              <w:pStyle w:val="IJKSmall"/>
            </w:pPr>
            <w:r>
              <w:rPr>
                <w:b/>
              </w:rPr>
              <w:t xml:space="preserve">Aceptado: </w:t>
            </w:r>
            <w:r>
              <w:t>00 de mes de 2026</w:t>
            </w:r>
          </w:p>
          <w:p>
            <w:pPr>
              <w:pStyle w:val="IJKSmall"/>
            </w:pPr>
            <w:r>
              <w:rPr>
                <w:b/>
              </w:rPr>
              <w:t xml:space="preserve">Publicado: </w:t>
            </w:r>
            <w:r>
              <w:t>00 de mes de 2026</w:t>
            </w:r>
          </w:p>
          <w:p>
            <w:pPr>
              <w:pStyle w:val="IJKBackMatterHeading"/>
            </w:pPr>
            <w:r>
              <w:t>Cómo citar</w:t>
            </w:r>
          </w:p>
          <w:p>
            <w:pPr>
              <w:pStyle w:val="IJKSmall"/>
            </w:pPr>
            <w:r>
              <w:t xml:space="preserve">Apellido, A. A., Apellido, B. B. y Apellido, C. C. (2026). Título del artículo. </w:t>
            </w:r>
            <w:r>
              <w:rPr>
                <w:b w:val="0"/>
                <w:i/>
              </w:rPr>
              <w:t>International Journal of Kinanthropometry, 6</w:t>
            </w:r>
            <w:r>
              <w:t xml:space="preserve">(2), 1–12. </w:t>
            </w:r>
            <w:hyperlink r:id="rId13">
              <w:r>
                <w:rPr>
                  <w:rFonts w:ascii="Arial" w:hAnsi="Arial" w:cs="Arial"/>
                  <w:color w:val="0F70B7"/>
                  <w:sz w:val="16"/>
                  <w:u w:val="single"/>
                </w:rPr>
                <w:t xml:space="preserve">https://doi.org/10.34256/ijkXXXX</w:t>
              </w:r>
            </w:hyperlink>
          </w:p>
          <w:p>
            <w:pPr>
              <w:pStyle w:val="IJKSmall"/>
              <w:spacing w:before="160"/>
            </w:pPr>
            <w:hyperlink r:id="rId18">
              <w:r>
                <w:drawing>
                  <wp:inline xmlns:a="http://schemas.openxmlformats.org/drawingml/2006/main" xmlns:pic="http://schemas.openxmlformats.org/drawingml/2006/picture">
                    <wp:extent cx="562500" cy="180000"/>
                    <wp:docPr id="4" name="Picture 4" descr="CC BY 4.0" title="CC BY 4.0"/>
                    <wp:cNvGraphicFramePr>
                      <a:graphicFrameLocks noChangeAspect="1"/>
                    </wp:cNvGraphicFramePr>
                    <a:graphic>
                      <a:graphicData uri="http://schemas.openxmlformats.org/drawingml/2006/picture">
                        <pic:pic>
                          <pic:nvPicPr>
                            <pic:cNvPr id="0" name="cc_by.png"/>
                            <pic:cNvPicPr/>
                          </pic:nvPicPr>
                          <pic:blipFill>
                            <a:blip r:embed="rId17"/>
                            <a:stretch>
                              <a:fillRect/>
                            </a:stretch>
                          </pic:blipFill>
                          <pic:spPr>
                            <a:xfrm>
                              <a:off x="0" y="0"/>
                              <a:ext cx="562500" cy="180000"/>
                            </a:xfrm>
                            <a:prstGeom prst="rect"/>
                          </pic:spPr>
                        </pic:pic>
                      </a:graphicData>
                    </a:graphic>
                  </wp:inline>
                </w:drawing>
              </w:r>
            </w:hyperlink>
            <w:r>
              <w:t xml:space="preserve">  </w:t>
            </w:r>
            <w:r>
              <w:drawing>
                <wp:inline xmlns:a="http://schemas.openxmlformats.org/drawingml/2006/main" xmlns:pic="http://schemas.openxmlformats.org/drawingml/2006/picture">
                  <wp:extent cx="675000" cy="180000"/>
                  <wp:docPr id="5" name="Picture 5" descr="Open Access" title="Open Access"/>
                  <wp:cNvGraphicFramePr>
                    <a:graphicFrameLocks noChangeAspect="1"/>
                  </wp:cNvGraphicFramePr>
                  <a:graphic>
                    <a:graphicData uri="http://schemas.openxmlformats.org/drawingml/2006/picture">
                      <pic:pic>
                        <pic:nvPicPr>
                          <pic:cNvPr id="0" name="open_access.png"/>
                          <pic:cNvPicPr/>
                        </pic:nvPicPr>
                        <pic:blipFill>
                          <a:blip r:embed="rId19"/>
                          <a:stretch>
                            <a:fillRect/>
                          </a:stretch>
                        </pic:blipFill>
                        <pic:spPr>
                          <a:xfrm>
                            <a:off x="0" y="0"/>
                            <a:ext cx="675000" cy="180000"/>
                          </a:xfrm>
                          <a:prstGeom prst="rect"/>
                        </pic:spPr>
                      </pic:pic>
                    </a:graphicData>
                  </a:graphic>
                </wp:inline>
              </w:drawing>
            </w:r>
          </w:p>
          <w:p>
            <w:pPr>
              <w:pStyle w:val="IJKSmall"/>
              <w:spacing w:before="60"/>
            </w:pPr>
            <w:r>
              <w:t xml:space="preserve">© Los autores, 2026. Artículo de acceso abierto distribuido bajo la </w:t>
            </w:r>
            <w:hyperlink r:id="rId18">
              <w:r>
                <w:rPr>
                  <w:rFonts w:ascii="Arial" w:hAnsi="Arial" w:cs="Arial"/>
                  <w:color w:val="0F70B7"/>
                  <w:sz w:val="16"/>
                  <w:u w:val="single"/>
                </w:rPr>
                <w:t xml:space="preserve">licencia CC BY 4.0</w:t>
              </w:r>
            </w:hyperlink>
            <w:r>
              <w:t>.</w:t>
            </w:r>
          </w:p>
        </w:tc>
        <w:tc>
          <w:tcPr>
            <w:tcW w:type="dxa" w:w="6690"/>
            <w:tcMar>
              <w:top w:w="60" w:type="dxa"/>
              <w:bottom w:w="60" w:type="dxa"/>
              <w:left w:w="220" w:type="dxa"/>
              <w:right w:w="0" w:type="dxa"/>
            </w:tcMar>
          </w:tcPr>
          <w:p>
            <w:pPr>
              <w:pStyle w:val="IJKAbstractHeading"/>
              <w:spacing w:before="0"/>
              <w:jc w:val="left"/>
            </w:pPr>
            <w:r>
              <w:t>Resumen</w:t>
            </w:r>
          </w:p>
          <w:p>
            <w:pPr>
              <w:pStyle w:val="IJKAbstract"/>
            </w:pPr>
            <w:r>
              <w:rPr>
                <w:b/>
              </w:rPr>
              <w:t xml:space="preserve">Introducción: </w:t>
            </w:r>
            <w:r>
              <w:t xml:space="preserve">Antecedentes y objetivo del estudio. </w:t>
            </w:r>
            <w:r>
              <w:rPr>
                <w:b/>
              </w:rPr>
              <w:t xml:space="preserve">Métodos: </w:t>
            </w:r>
            <w:r>
              <w:t xml:space="preserve">Diseño, participantes, protocolo antropométrico y análisis estadístico. </w:t>
            </w:r>
            <w:r>
              <w:rPr>
                <w:b/>
              </w:rPr>
              <w:t xml:space="preserve">Resultados: </w:t>
            </w:r>
            <w:r>
              <w:t xml:space="preserve">Principales hallazgos con los resultados numéricos clave. </w:t>
            </w:r>
            <w:r>
              <w:rPr>
                <w:b/>
              </w:rPr>
              <w:t xml:space="preserve">Conclusiones: </w:t>
            </w:r>
            <w:r>
              <w:t>Conclusión principal y aplicaciones prácticas.</w:t>
            </w:r>
          </w:p>
          <w:p>
            <w:pPr>
              <w:pStyle w:val="IJKKeywords"/>
            </w:pPr>
            <w:r>
              <w:rPr>
                <w:b/>
                <w:color w:val="0F70B7"/>
              </w:rPr>
              <w:t xml:space="preserve">Palabras clave: </w:t>
            </w:r>
            <w:r>
              <w:t>antropometría; cineantropometría; composición corporal; somatotipo</w:t>
            </w:r>
          </w:p>
        </w:tc>
      </w:tr>
    </w:tbl>
    <w:p>
      <w:pPr>
        <w:pStyle w:val="IJKTitleTranslated"/>
      </w:pPr>
      <w:r>
        <w:t>Title of the article translated into English</w:t>
      </w:r>
    </w:p>
    <w:p>
      <w:pPr>
        <w:pStyle w:val="IJKAbstractHeading"/>
        <w:jc w:val="left"/>
      </w:pPr>
      <w:r>
        <w:t>Abstract</w:t>
      </w:r>
    </w:p>
    <w:p>
      <w:pPr>
        <w:pStyle w:val="IJKAbstract"/>
      </w:pPr>
      <w:r>
        <w:rPr>
          <w:b/>
        </w:rPr>
        <w:t xml:space="preserve">Introduction: </w:t>
      </w:r>
      <w:r>
        <w:t xml:space="preserve">Background and aim of the study. </w:t>
      </w:r>
      <w:r>
        <w:rPr>
          <w:b/>
        </w:rPr>
        <w:t xml:space="preserve">Methods: </w:t>
      </w:r>
      <w:r>
        <w:t xml:space="preserve">Design, participants, anthropometric protocol and statistical analysis. </w:t>
      </w:r>
      <w:r>
        <w:rPr>
          <w:b/>
        </w:rPr>
        <w:t xml:space="preserve">Results: </w:t>
      </w:r>
      <w:r>
        <w:t xml:space="preserve">Main findings with key numerical results. </w:t>
      </w:r>
      <w:r>
        <w:rPr>
          <w:b/>
        </w:rPr>
        <w:t xml:space="preserve">Conclusions: </w:t>
      </w:r>
      <w:r>
        <w:t>Main conclusion and practical implications.</w:t>
      </w:r>
    </w:p>
    <w:p>
      <w:pPr>
        <w:pStyle w:val="IJKKeywords"/>
        <w:pBdr>
          <w:bottom w:val="single" w:sz="8" w:space="6" w:color="0F70B7"/>
        </w:pBdr>
        <w:spacing w:after="40"/>
      </w:pPr>
      <w:r>
        <w:rPr>
          <w:b/>
          <w:color w:val="0F70B7"/>
        </w:rPr>
        <w:t xml:space="preserve">Keywords: </w:t>
      </w:r>
      <w:r>
        <w:t>anthropometry; body composition; kinanthropometry; somatotype</w:t>
      </w:r>
    </w:p>
    <w:p>
      <w:pPr>
        <w:pStyle w:val="Heading1"/>
      </w:pPr>
      <w:r>
        <w:t>Introducción</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1"/>
      </w:pPr>
      <w:r>
        <w:t>Material y métodos</w:t>
      </w:r>
    </w:p>
    <w:p>
      <w:pPr>
        <w:pStyle w:val="Heading2"/>
      </w:pPr>
      <w:r>
        <w:t>Diseño del estudio</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Participantes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Procedimiento</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Mediciones antropométricas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Variables derivadas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Otras variables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2"/>
      </w:pPr>
      <w:r>
        <w:t>Análisis estadístico</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1"/>
      </w:pPr>
      <w:r>
        <w:t>Resultados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IJKTableCaption"/>
      </w:pPr>
      <w:r>
        <w:rPr>
          <w:b/>
        </w:rPr>
        <w:t xml:space="preserve">Tabla 1. </w:t>
      </w:r>
      <w:r>
        <w:t>Características descriptivas de los participantes por sexo (media ± DE).</w:t>
      </w:r>
    </w:p>
    <w:tbl>
      <w:tblPr>
        <w:tblW w:type="dxa" w:w="9411"/>
        <w:jc w:val="center"/>
        <w:tblBorders>
          <w:top w:val="single" w:sz="12" w:color="000000"/>
          <w:left w:val="nil"/>
          <w:bottom w:val="single" w:sz="12" w:color="000000"/>
          <w:right w:val="nil"/>
          <w:insideH w:val="nil"/>
          <w:insideV w:val="nil"/>
        </w:tblBorders>
        <w:tblLayout w:type="fixed"/>
        <w:tblLook w:firstColumn="1" w:firstRow="1" w:lastColumn="0" w:lastRow="0" w:noHBand="0" w:noVBand="1" w:val="04A0"/>
      </w:tblPr>
      <w:tblGrid>
        <w:gridCol w:w="2834"/>
        <w:gridCol w:w="2040"/>
        <w:gridCol w:w="2040"/>
        <w:gridCol w:w="1247"/>
        <w:gridCol w:w="1247"/>
      </w:tblGrid>
      <w:tr>
        <w:trPr>
          <w:tblHeader w:val="true"/>
        </w:trPr>
        <w:tc>
          <w:tcPr>
            <w:tcW w:type="dxa" w:w="2835"/>
            <w:tcBorders>
              <w:bottom w:val="single" w:sz="6" w:color="000000"/>
            </w:tcBorders>
          </w:tcPr>
          <w:p>
            <w:pPr>
              <w:pStyle w:val="IJKTableText"/>
            </w:pPr>
            <w:r>
              <w:rPr>
                <w:b/>
              </w:rPr>
              <w:t>Variable</w:t>
            </w:r>
          </w:p>
        </w:tc>
        <w:tc>
          <w:tcPr>
            <w:tcW w:type="dxa" w:w="2041"/>
            <w:tcBorders>
              <w:bottom w:val="single" w:sz="6" w:color="000000"/>
            </w:tcBorders>
          </w:tcPr>
          <w:p>
            <w:pPr>
              <w:pStyle w:val="IJKTableText"/>
              <w:jc w:val="center"/>
            </w:pPr>
            <w:r>
              <w:rPr>
                <w:b/>
              </w:rPr>
              <w:t>Mujeres (n = 00)</w:t>
            </w:r>
          </w:p>
        </w:tc>
        <w:tc>
          <w:tcPr>
            <w:tcW w:type="dxa" w:w="2041"/>
            <w:tcBorders>
              <w:bottom w:val="single" w:sz="6" w:color="000000"/>
            </w:tcBorders>
          </w:tcPr>
          <w:p>
            <w:pPr>
              <w:pStyle w:val="IJKTableText"/>
              <w:jc w:val="center"/>
            </w:pPr>
            <w:r>
              <w:rPr>
                <w:b/>
              </w:rPr>
              <w:t>Hombres (n = 00)</w:t>
            </w:r>
          </w:p>
        </w:tc>
        <w:tc>
          <w:tcPr>
            <w:tcW w:type="dxa" w:w="1247"/>
            <w:tcBorders>
              <w:bottom w:val="single" w:sz="6" w:color="000000"/>
            </w:tcBorders>
          </w:tcPr>
          <w:p>
            <w:pPr>
              <w:pStyle w:val="IJKTableText"/>
              <w:jc w:val="center"/>
            </w:pPr>
            <w:r>
              <w:rPr>
                <w:b/>
                <w:i/>
              </w:rPr>
              <w:t>p</w:t>
            </w:r>
          </w:p>
        </w:tc>
        <w:tc>
          <w:tcPr>
            <w:tcW w:type="dxa" w:w="1247"/>
            <w:tcBorders>
              <w:bottom w:val="single" w:sz="6" w:color="000000"/>
            </w:tcBorders>
          </w:tcPr>
          <w:p>
            <w:pPr>
              <w:pStyle w:val="IJKTableText"/>
              <w:jc w:val="center"/>
            </w:pPr>
            <w:r>
              <w:rPr>
                <w:b/>
              </w:rPr>
              <w:t>TE</w:t>
            </w:r>
          </w:p>
        </w:tc>
      </w:tr>
      <w:tr>
        <w:tc>
          <w:tcPr>
            <w:tcW w:type="dxa" w:w="2835"/>
          </w:tcPr>
          <w:p>
            <w:pPr>
              <w:pStyle w:val="IJKTableText"/>
            </w:pPr>
            <w:r>
              <w:t>Edad (años)</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Masa corporal (kg)</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Estatura (cm)</w:t>
            </w:r>
          </w:p>
        </w:tc>
        <w:tc>
          <w:tcPr>
            <w:tcW w:type="dxa" w:w="2041"/>
          </w:tcPr>
          <w:p>
            <w:pPr>
              <w:pStyle w:val="IJKTableText"/>
              <w:jc w:val="center"/>
            </w:pPr>
            <w:r>
              <w:t>000,0 ± 0,0</w:t>
            </w:r>
          </w:p>
        </w:tc>
        <w:tc>
          <w:tcPr>
            <w:tcW w:type="dxa" w:w="2041"/>
          </w:tcPr>
          <w:p>
            <w:pPr>
              <w:pStyle w:val="IJKTableText"/>
              <w:jc w:val="center"/>
            </w:pPr>
            <w:r>
              <w:t>000,0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Σ8 pliegues (mm)</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bl>
    <w:p>
      <w:pPr>
        <w:pStyle w:val="IJKTableNote"/>
      </w:pPr>
      <w:r>
        <w:rPr>
          <w:i/>
        </w:rPr>
        <w:t xml:space="preserve">Nota: </w:t>
      </w:r>
      <w:r>
        <w:t xml:space="preserve">DE, desviación estándar; TE, tamaño del efecto (d de Cohen); Σ8 pliegues, suma de ocho pliegues cutáneos. </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tbl>
      <w:tblPr>
        <w:tblW w:type="auto" w:w="0"/>
        <w:jc w:val="center"/>
        <w:tblBorders>
          <w:top w:val="single" w:sz="4" w:color="7F7F7F"/>
          <w:left w:val="single" w:sz="4" w:color="7F7F7F"/>
          <w:bottom w:val="single" w:sz="4" w:color="7F7F7F"/>
          <w:right w:val="single" w:sz="4" w:color="7F7F7F"/>
          <w:insideH w:val="nil"/>
          <w:insideV w:val="nil"/>
        </w:tblBorders>
        <w:tblLook w:firstColumn="1" w:firstRow="1" w:lastColumn="0" w:lastRow="0" w:noHBand="0" w:noVBand="1" w:val="04A0"/>
      </w:tblPr>
      <w:tblGrid>
        <w:gridCol w:w="9638"/>
      </w:tblGrid>
      <w:tr>
        <w:tc>
          <w:tcPr>
            <w:tcW w:type="dxa" w:w="9638"/>
            <w:tcMar>
              <w:top w:w="500" w:type="dxa"/>
              <w:bottom w:w="500" w:type="dxa"/>
              <w:left w:w="200" w:type="dxa"/>
              <w:right w:w="200" w:type="dxa"/>
            </w:tcMar>
          </w:tcPr>
          <w:p>
            <w:pPr>
              <w:pStyle w:val="IJKFigure"/>
            </w:pPr>
            <w:r>
              <w:t>[Inserte aquí la figura, cerca de donde se cita por primera vez. Resolución ≥ 300 ppp; colores distinguibles en escala de grises. Súbala también como archivo independiente (TIFF, EPS, PNG o JPG).]</w:t>
            </w:r>
          </w:p>
        </w:tc>
      </w:tr>
    </w:tbl>
    <w:p>
      <w:pPr>
        <w:pStyle w:val="IJKFigureCaption"/>
      </w:pPr>
      <w:r>
        <w:rPr>
          <w:b/>
        </w:rPr>
        <w:t xml:space="preserve">Figura 1. </w:t>
      </w:r>
      <w:r>
        <w:t>Pie de figura que describe la figura y se entiende sin necesidad de leer el texto. Defina las abreviaturas utilizadas.</w:t>
      </w:r>
    </w:p>
    <w:p>
      <w:pPr>
        <w:pStyle w:val="IJKGuide"/>
      </w:pPr>
      <w:r>
        <w:rPr>
          <w:b/>
          <w:color w:val="7F7F7F"/>
        </w:rPr>
        <w:t xml:space="preserve">Texto alternativo: </w:t>
      </w:r>
      <w:r>
        <w:rPr>
          <w:i/>
          <w:color w:val="7F7F7F"/>
        </w:rPr>
        <w:t>[Breve descripción del contenido de la figura para usuarios de lectores de pantalla (máx. 250 caracteres).]</w:t>
      </w:r>
    </w:p>
    <w:p>
      <w:pPr>
        <w:pStyle w:val="Heading1"/>
      </w:pPr>
      <w:r>
        <w:t>Discusión</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1"/>
      </w:pPr>
      <w:r>
        <w:t>Conclusiones</w:t>
      </w:r>
    </w:p>
    <w:p>
      <w:pPr>
        <w:pStyle w:val="IJKBody"/>
      </w:pPr>
      <w:r>
        <w:t>Texto del apartado. El texto se compone en Arial de 10 pt, justificado, con interlineado 1,15 y 6 pt después de cada párrafo, sin sangría de primera línea. Las citas siguen el formato autor–año de APA 7, p. ej. (Esparza-Ros et al., 2019) o Esparza-Ros et al. (2019), y todas las citas del texto figuran en la lista de referencias.</w:t>
      </w:r>
    </w:p>
    <w:p>
      <w:pPr>
        <w:pStyle w:val="Heading1"/>
      </w:pPr>
      <w:r>
        <w:t>Declaraciones</w:t>
      </w:r>
    </w:p>
    <w:p>
      <w:pPr>
        <w:pStyle w:val="IJKBackMatter"/>
      </w:pPr>
      <w:r>
        <w:rPr>
          <w:b/>
          <w:color w:val="0F70B7"/>
        </w:rPr>
        <w:t xml:space="preserve">Contribución de los autores. </w:t>
      </w:r>
      <w:r>
        <w:t>Conceptualización: A.A.A.; Metodología: A.A.A., B.B.A.; Análisis formal: B.B.A.; Redacción – borrador original: A.A.A.; Redacción – revisión y edición: todos los autores. Todos los autores han leído y aprobado la versión final del manuscrito.</w:t>
      </w:r>
    </w:p>
    <w:p>
      <w:pPr>
        <w:pStyle w:val="IJKBackMatter"/>
      </w:pPr>
      <w:r>
        <w:rPr>
          <w:b/>
          <w:color w:val="0F70B7"/>
        </w:rPr>
        <w:t xml:space="preserve">Financiación. </w:t>
      </w:r>
      <w:r>
        <w:t>Esta investigación no ha recibido financiación externa.</w:t>
      </w:r>
    </w:p>
    <w:p>
      <w:pPr>
        <w:pStyle w:val="IJKBackMatter"/>
      </w:pPr>
      <w:r>
        <w:rPr>
          <w:b/>
          <w:color w:val="0F70B7"/>
        </w:rPr>
        <w:t xml:space="preserve">Conflicto de intereses. </w:t>
      </w:r>
      <w:r>
        <w:t>Los autores declaran no tener conflictos de intereses.</w:t>
      </w:r>
    </w:p>
    <w:p>
      <w:pPr>
        <w:pStyle w:val="IJKBackMatter"/>
      </w:pPr>
      <w:r>
        <w:rPr>
          <w:b/>
          <w:color w:val="0F70B7"/>
        </w:rPr>
        <w:t xml:space="preserve">Aprobación ética. </w:t>
      </w:r>
      <w:r>
        <w:t>El estudio fue aprobado por el [Comité de Ética de la Universidad] (código [0000], [fecha]) y se realizó de acuerdo con la Declaración de Helsinki.</w:t>
      </w:r>
    </w:p>
    <w:p>
      <w:pPr>
        <w:pStyle w:val="IJKBackMatter"/>
      </w:pPr>
      <w:r>
        <w:rPr>
          <w:b/>
          <w:color w:val="0F70B7"/>
        </w:rPr>
        <w:t xml:space="preserve">Consentimiento informado. </w:t>
      </w:r>
      <w:r>
        <w:t>Se obtuvo el consentimiento informado por escrito de todos los participantes.</w:t>
      </w:r>
    </w:p>
    <w:p>
      <w:pPr>
        <w:pStyle w:val="IJKBackMatter"/>
      </w:pPr>
      <w:r>
        <w:rPr>
          <w:b/>
          <w:color w:val="0F70B7"/>
        </w:rPr>
        <w:t xml:space="preserve">Disponibilidad de los datos. </w:t>
      </w:r>
      <w:r>
        <w:t>Los datos están disponibles a petición razonable al autor de correspondencia.</w:t>
      </w:r>
    </w:p>
    <w:p>
      <w:pPr>
        <w:pStyle w:val="IJKBackMatter"/>
      </w:pPr>
      <w:r>
        <w:rPr>
          <w:b/>
          <w:color w:val="0F70B7"/>
        </w:rPr>
        <w:t xml:space="preserve">Uso de inteligencia artificial. </w:t>
      </w:r>
      <w:r>
        <w:t>No se han utilizado herramientas de inteligencia artificial generativa en la elaboración de este manuscrito.</w:t>
      </w:r>
    </w:p>
    <w:p>
      <w:pPr>
        <w:pStyle w:val="IJKBackMatter"/>
      </w:pPr>
      <w:r>
        <w:rPr>
          <w:b/>
          <w:color w:val="0F70B7"/>
        </w:rPr>
        <w:t xml:space="preserve">Agradecimientos. </w:t>
      </w:r>
      <w:r>
        <w:t>Los autores agradecen a los participantes su colaboración.</w:t>
      </w:r>
    </w:p>
    <w:p>
      <w:pPr>
        <w:pStyle w:val="IJKBackMatter"/>
        <w:spacing w:before="120"/>
      </w:pPr>
      <w:hyperlink r:id="rId18">
        <w:r>
          <w:drawing>
            <wp:inline xmlns:a="http://schemas.openxmlformats.org/drawingml/2006/main" xmlns:pic="http://schemas.openxmlformats.org/drawingml/2006/picture">
              <wp:extent cx="506250" cy="162000"/>
              <wp:docPr id="6" name="Picture 6" descr="CC BY 4.0" title="CC BY 4.0"/>
              <wp:cNvGraphicFramePr>
                <a:graphicFrameLocks noChangeAspect="1"/>
              </wp:cNvGraphicFramePr>
              <a:graphic>
                <a:graphicData uri="http://schemas.openxmlformats.org/drawingml/2006/picture">
                  <pic:pic>
                    <pic:nvPicPr>
                      <pic:cNvPr id="0" name="cc_by.png"/>
                      <pic:cNvPicPr/>
                    </pic:nvPicPr>
                    <pic:blipFill>
                      <a:blip r:embed="rId17"/>
                      <a:stretch>
                        <a:fillRect/>
                      </a:stretch>
                    </pic:blipFill>
                    <pic:spPr>
                      <a:xfrm>
                        <a:off x="0" y="0"/>
                        <a:ext cx="506250" cy="162000"/>
                      </a:xfrm>
                      <a:prstGeom prst="rect"/>
                    </pic:spPr>
                  </pic:pic>
                </a:graphicData>
              </a:graphic>
            </wp:inline>
          </w:drawing>
        </w:r>
      </w:hyperlink>
      <w:r>
        <w:t xml:space="preserve">  </w:t>
      </w:r>
      <w:r>
        <w:rPr>
          <w:b/>
          <w:color w:val="0F70B7"/>
        </w:rPr>
        <w:t xml:space="preserve">Licencia. </w:t>
      </w:r>
      <w:r>
        <w:t xml:space="preserve">© Los autores, 2026. Este artículo está publicado por la International Society for the Advancement of Kinanthropometry (ISAK) bajo los términos de la licencia Creative Commons Atribución 4.0 Internacional (CC BY 4.0), que permite el uso, la distribución, la adaptación y la reproducción en cualquier medio o formato, siempre que se cite adecuadamente a los autores originales y la fuente, se incluya un enlace a la licencia y se indique si se han realizado cambios. </w:t>
      </w:r>
      <w:hyperlink r:id="rId18">
        <w:r>
          <w:rPr>
            <w:rFonts w:ascii="Arial" w:hAnsi="Arial" w:cs="Arial"/>
            <w:color w:val="0F70B7"/>
            <w:sz w:val="18"/>
            <w:u w:val="single"/>
          </w:rPr>
          <w:t xml:space="preserve">https://creativecommons.org/licenses/by/4.0/</w:t>
        </w:r>
      </w:hyperlink>
    </w:p>
    <w:p>
      <w:pPr>
        <w:pStyle w:val="Heading1"/>
      </w:pPr>
      <w:r>
        <w:t>Referencias</w:t>
      </w:r>
    </w:p>
    <w:p>
      <w:pPr>
        <w:pStyle w:val="IJKReference"/>
      </w:pPr>
      <w:r>
        <w:t xml:space="preserve">Apellido, A. A. y Apellido, B. B. (2024). Título del artículo. </w:t>
      </w:r>
      <w:r>
        <w:rPr>
          <w:b w:val="0"/>
          <w:i/>
        </w:rPr>
        <w:t>Nombre de la Revista, 10</w:t>
      </w:r>
      <w:r>
        <w:t xml:space="preserve">(2), 100–110. </w:t>
      </w:r>
      <w:hyperlink r:id="rId20">
        <w:r>
          <w:rPr>
            <w:rFonts w:ascii="Arial" w:hAnsi="Arial" w:cs="Arial"/>
            <w:color w:val="0F70B7"/>
            <w:u w:val="single"/>
          </w:rPr>
          <w:t xml:space="preserve">https://doi.org/10.xxxx/xxxxx</w:t>
        </w:r>
      </w:hyperlink>
    </w:p>
    <w:p>
      <w:pPr>
        <w:pStyle w:val="IJKReference"/>
      </w:pPr>
      <w:r>
        <w:t xml:space="preserve">Esparza-Ros, F., Vaquero-Cristóbal, R. y Marfell-Jones, M. (2019). </w:t>
      </w:r>
      <w:r>
        <w:rPr>
          <w:b w:val="0"/>
          <w:i/>
        </w:rPr>
        <w:t>Protocolo internacional para la valoración antropométrica</w:t>
      </w:r>
      <w:r>
        <w:t xml:space="preserve"> (ed. 2019). International Society for the Advancement of Kinanthropometry.</w:t>
      </w:r>
      <w:r>
        <w:br w:type="page"/>
      </w:r>
    </w:p>
    <w:tbl>
      <w:tblPr>
        <w:tblW w:type="auto" w:w="0"/>
        <w:tblBorders>
          <w:top w:val="single" w:sz="6" w:color="7F7F7F"/>
          <w:left w:val="single" w:sz="6" w:color="7F7F7F"/>
          <w:bottom w:val="single" w:sz="6" w:color="7F7F7F"/>
          <w:right w:val="single" w:sz="6" w:color="7F7F7F"/>
          <w:insideH w:val="nil"/>
          <w:insideV w:val="nil"/>
        </w:tblBorders>
        <w:tblLook w:firstColumn="1" w:firstRow="1" w:lastColumn="0" w:lastRow="0" w:noHBand="0" w:noVBand="1" w:val="04A0"/>
      </w:tblPr>
      <w:tblGrid>
        <w:gridCol w:w="9638"/>
      </w:tblGrid>
      <w:tr>
        <w:tc>
          <w:tcPr>
            <w:tcW w:type="dxa" w:w="9638"/>
            <w:shd w:val="clear" w:color="auto" w:fill="F2F2F2"/>
            <w:tcMar>
              <w:top w:w="120" w:type="dxa"/>
              <w:bottom w:w="120" w:type="dxa"/>
              <w:left w:w="180" w:type="dxa"/>
              <w:right w:w="180" w:type="dxa"/>
            </w:tcMar>
          </w:tcPr>
          <w:p>
            <w:pPr>
              <w:pStyle w:val="IJKBackMatterHeading"/>
              <w:spacing w:before="0"/>
            </w:pPr>
            <w:r>
              <w:t>Notas de producción para el maquetador (no forman parte del artículo)</w:t>
            </w:r>
          </w:p>
          <w:p>
            <w:pPr>
              <w:pStyle w:val="IJKBackMatter"/>
              <w:ind w:left="283" w:hanging="283"/>
            </w:pPr>
            <w:r>
              <w:rPr>
                <w:b/>
              </w:rPr>
              <w:t xml:space="preserve">1. </w:t>
            </w:r>
            <w:r>
              <w:t>Tipografía: solo Arial (incrustada). Texto 10 pt, interlineado 1,15, justificado, 6 pt después de cada párrafo y sin sangría de primera línea. Título 16 pt azul (#0F70B7); Título 1 12 pt negrita azul; Título 2 10,5 pt negrita; Título 3 10 pt negrita cursiva.</w:t>
            </w:r>
          </w:p>
          <w:p>
            <w:pPr>
              <w:pStyle w:val="IJKBackMatter"/>
              <w:ind w:left="283" w:hanging="283"/>
            </w:pPr>
            <w:r>
              <w:rPr>
                <w:b/>
              </w:rPr>
              <w:t xml:space="preserve">2. </w:t>
            </w:r>
            <w:r>
              <w:t>Primera página: logotipo actualizado de IJK, banda azul horizontal con el tipo de artículo y el DOI enlazado (sin texto vertical) y recuadro de información con fechas, «Cómo citar», licencia e icono de Acceso Abierto. No mostrar Crossmark hasta que ISAK deposite los DOI y los metadatos de Crossmark en Crossref.</w:t>
            </w:r>
          </w:p>
          <w:p>
            <w:pPr>
              <w:pStyle w:val="IJKBackMatter"/>
              <w:ind w:left="283" w:hanging="283"/>
            </w:pPr>
            <w:r>
              <w:rPr>
                <w:b/>
              </w:rPr>
              <w:t xml:space="preserve">3. </w:t>
            </w:r>
            <w:r>
              <w:t>Páginas siguientes: cabecera «Int. J. Kinanthrop. Año, Vol(Núm.): primera–última · Apellido et al.» (raya corta en los rangos de páginas) y pie con el DOI enlazado y el número de página.</w:t>
            </w:r>
          </w:p>
          <w:p>
            <w:pPr>
              <w:pStyle w:val="IJKBackMatter"/>
              <w:ind w:left="283" w:hanging="283"/>
            </w:pPr>
            <w:r>
              <w:rPr>
                <w:b/>
              </w:rPr>
              <w:t xml:space="preserve">4. </w:t>
            </w:r>
            <w:r>
              <w:t>Tablas: tres líneas horizontales, sin líneas verticales, título encima y notas debajo, con la fila de encabezado repetida en cada página. Figuras: pie debajo y texto alternativo. Ambas cerca de su primera cita.</w:t>
            </w:r>
          </w:p>
          <w:p>
            <w:pPr>
              <w:pStyle w:val="IJKBackMatter"/>
              <w:ind w:left="283" w:hanging="283"/>
            </w:pPr>
            <w:r>
              <w:rPr>
                <w:b/>
              </w:rPr>
              <w:t xml:space="preserve">5. </w:t>
            </w:r>
            <w:r>
              <w:t>Referencias en APA 7 con sangría francesa y DOI como enlace https://doi.org/… Declaraciones en orden fijo, seguidas de la licencia con enlace.</w:t>
            </w:r>
          </w:p>
          <w:p>
            <w:pPr>
              <w:pStyle w:val="IJKBackMatter"/>
              <w:ind w:left="283" w:hanging="283"/>
            </w:pPr>
            <w:r>
              <w:rPr>
                <w:b/>
              </w:rPr>
              <w:t xml:space="preserve">6. </w:t>
            </w:r>
            <w:r>
              <w:t>Exportación: PDF etiquetado (PDF/UA) con orden de lectura, idioma del documento y texto alternativo; marcadores generados a partir de los títulos; PDF/A-2b para la preservación (PKP PN, LOCKSS, CLOCKSS).</w:t>
            </w:r>
          </w:p>
          <w:p>
            <w:pPr>
              <w:pStyle w:val="IJKBackMatter"/>
              <w:ind w:left="283" w:hanging="283"/>
            </w:pPr>
            <w:r>
              <w:rPr>
                <w:b/>
              </w:rPr>
              <w:t xml:space="preserve">7. </w:t>
            </w:r>
            <w:r>
              <w:t>Metadatos del PDF (XMP): título, autores, palabras clave, idioma, DOI, revista y E-ISSN; editor: ISAK. Eliminar cualquier referencia a la editora anterior. Nombre del archivo = sufijo del DOI (p. ej., ijk2621.pdf).</w:t>
            </w:r>
          </w:p>
          <w:p>
            <w:pPr>
              <w:pStyle w:val="IJKBackMatter"/>
              <w:ind w:left="283" w:hanging="283"/>
            </w:pPr>
            <w:r>
              <w:rPr>
                <w:b/>
              </w:rPr>
              <w:t xml:space="preserve">8. </w:t>
            </w:r>
            <w:r>
              <w:t>Entregar el XML JATS generado desde el mismo maquetado, para su publicación en OJS (visor Lens) y su revisión con Texture.</w:t>
            </w:r>
          </w:p>
        </w:tc>
      </w:tr>
    </w:tbl>
    <w:sectPr w:rsidR="00FC693F" w:rsidRPr="0006063C" w:rsidSect="00034616">
      <w:headerReference w:type="first" r:id="rId9"/>
      <w:headerReference w:type="default" r:id="rId11"/>
      <w:footerReference w:type="first" r:id="rId10"/>
      <w:footerReference w:type="default" r:id="rId12"/>
      <w:pgSz w:w="11906" w:h="16838"/>
      <w:pgMar w:top="1474" w:right="1134" w:bottom="1134" w:left="1134"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tabs>
        <w:tab w:pos="9638" w:val="right"/>
      </w:tabs>
    </w:pPr>
    <w:hyperlink r:id="rId1">
      <w:r>
        <w:rPr>
          <w:rFonts w:ascii="Arial" w:hAnsi="Arial" w:cs="Arial"/>
          <w:color w:val="0F70B7"/>
          <w:sz w:val="16"/>
        </w:rPr>
        <w:t xml:space="preserve">https://doi.org/10.34256/ijkXXXX</w:t>
      </w:r>
    </w:hyperlink>
    <w:r>
      <w:rPr>
        <w:rFonts w:ascii="Arial" w:hAnsi="Arial"/>
        <w:color w:val="7F7F7F"/>
        <w:sz w:val="16"/>
      </w:rPr>
      <w:tab/>
      <w:t xml:space="preserve">© Los autores, 2026 · CC BY 4.0 · Página </w:t>
    </w:r>
    <w:r>
      <w:rPr>
        <w:b/>
        <w:sz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tabs>
        <w:tab w:pos="9638" w:val="right"/>
      </w:tabs>
    </w:pPr>
    <w:hyperlink r:id="rId1">
      <w:r>
        <w:rPr>
          <w:rFonts w:ascii="Arial" w:hAnsi="Arial" w:cs="Arial"/>
          <w:color w:val="0F70B7"/>
          <w:sz w:val="16"/>
        </w:rPr>
        <w:t xml:space="preserve">https://doi.org/10.34256/ijkXXXX</w:t>
      </w:r>
    </w:hyperlink>
    <w:r>
      <w:rPr>
        <w:rFonts w:ascii="Arial" w:hAnsi="Arial"/>
        <w:color w:val="7F7F7F"/>
        <w:sz w:val="16"/>
      </w:rPr>
      <w:tab/>
      <w:t xml:space="preserve">Página </w:t>
    </w:r>
    <w:r>
      <w:rPr>
        <w:b/>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40"/>
    </w:pPr>
    <w:hyperlink r:id="rId2">
      <w:r>
        <w:drawing>
          <wp:inline xmlns:a="http://schemas.openxmlformats.org/drawingml/2006/main" xmlns:pic="http://schemas.openxmlformats.org/drawingml/2006/picture">
            <wp:extent cx="4140000" cy="420966"/>
            <wp:docPr id="1" name="Picture 1" descr="International Journal of Kinanthropometry – ISAK" title="International Journal of Kinanthropometry – ISAK"/>
            <wp:cNvGraphicFramePr>
              <a:graphicFrameLocks noChangeAspect="1"/>
            </wp:cNvGraphicFramePr>
            <a:graphic>
              <a:graphicData uri="http://schemas.openxmlformats.org/drawingml/2006/picture">
                <pic:pic>
                  <pic:nvPicPr>
                    <pic:cNvPr id="0" name="logo_new.png"/>
                    <pic:cNvPicPr/>
                  </pic:nvPicPr>
                  <pic:blipFill>
                    <a:blip r:embed="rId1"/>
                    <a:stretch>
                      <a:fillRect/>
                    </a:stretch>
                  </pic:blipFill>
                  <pic:spPr>
                    <a:xfrm>
                      <a:off x="0" y="0"/>
                      <a:ext cx="4140000" cy="420966"/>
                    </a:xfrm>
                    <a:prstGeom prst="rect"/>
                  </pic:spPr>
                </pic:pic>
              </a:graphicData>
            </a:graphic>
          </wp:inline>
        </w:drawing>
      </w:r>
    </w:hyperlink>
    <w:r>
      <w:tab/>
    </w:r>
    <w:r>
      <w:drawing>
        <wp:inline xmlns:a="http://schemas.openxmlformats.org/drawingml/2006/main" xmlns:pic="http://schemas.openxmlformats.org/drawingml/2006/picture">
          <wp:extent cx="675000" cy="180000"/>
          <wp:docPr id="2" name="Picture 2" descr="Open Access" title="Open Access"/>
          <wp:cNvGraphicFramePr>
            <a:graphicFrameLocks noChangeAspect="1"/>
          </wp:cNvGraphicFramePr>
          <a:graphic>
            <a:graphicData uri="http://schemas.openxmlformats.org/drawingml/2006/picture">
              <pic:pic>
                <pic:nvPicPr>
                  <pic:cNvPr id="0" name="open_access.png"/>
                  <pic:cNvPicPr/>
                </pic:nvPicPr>
                <pic:blipFill>
                  <a:blip r:embed="rId3"/>
                  <a:stretch>
                    <a:fillRect/>
                  </a:stretch>
                </pic:blipFill>
                <pic:spPr>
                  <a:xfrm>
                    <a:off x="0" y="0"/>
                    <a:ext cx="675000" cy="180000"/>
                  </a:xfrm>
                  <a:prstGeom prst="rect"/>
                </pic:spPr>
              </pic:pic>
            </a:graphicData>
          </a:graphic>
        </wp:inline>
      </w:drawing>
    </w:r>
  </w:p>
  <w:p>
    <w:pPr>
      <w:pBdr>
        <w:bottom w:val="single" w:sz="8" w:space="3" w:color="0F70B7"/>
      </w:pBdr>
    </w:pPr>
    <w:r>
      <w:rPr>
        <w:rFonts w:ascii="Arial" w:hAnsi="Arial"/>
        <w:color w:val="7F7F7F"/>
        <w:sz w:val="16"/>
      </w:rPr>
      <w:t xml:space="preserve">Publicada por ISAK · E-ISSN 2790-9816 · </w:t>
    </w:r>
    <w:hyperlink r:id="rId2">
      <w:r>
        <w:rPr>
          <w:rFonts w:ascii="Arial" w:hAnsi="Arial" w:cs="Arial"/>
          <w:color w:val="0F70B7"/>
          <w:sz w:val="16"/>
          <w:u w:val="single"/>
        </w:rPr>
        <w:t xml:space="preserve">revista.westeurope.cloudapp.azure.com/ijk</w:t>
      </w:r>
    </w:hyperlink>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0F70B7"/>
      </w:pBdr>
      <w:tabs>
        <w:tab w:pos="9638" w:val="right"/>
      </w:tabs>
    </w:pPr>
    <w:r>
      <w:rPr>
        <w:rFonts w:ascii="Arial" w:hAnsi="Arial"/>
        <w:b/>
        <w:color w:val="0F70B7"/>
        <w:sz w:val="16"/>
      </w:rPr>
      <w:t>Int. J. Kinanthrop. 2026, 6(2): 1–12</w:t>
    </w:r>
    <w:r>
      <w:rPr>
        <w:rFonts w:ascii="Arial" w:hAnsi="Arial"/>
        <w:i/>
        <w:color w:val="7F7F7F"/>
        <w:sz w:val="16"/>
      </w:rPr>
      <w:tab/>
      <w:t>Apellido et 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jc w:val="both"/>
    </w:pPr>
    <w:rPr>
      <w:rFonts w:ascii="Arial" w:hAnsi="Arial" w:cs="Arial" w:eastAsia="Arial"/>
      <w:b w:val="0"/>
      <w:i w:val="0"/>
      <w:sz w:val="20"/>
      <w:lang w:val="es-ES"/>
    </w:rPr>
  </w:style>
  <w:style w:type="paragraph" w:styleId="Header">
    <w:name w:val="header"/>
    <w:basedOn w:val="Normal"/>
    <w:link w:val="HeaderChar"/>
    <w:uiPriority w:val="99"/>
    <w:unhideWhenUsed/>
    <w:rsid w:val="00E618BF"/>
    <w:pPr>
      <w:spacing w:after="0" w:line="240" w:lineRule="auto"/>
    </w:pPr>
    <w:rPr>
      <w:lang w:val="es-ES"/>
    </w:rPr>
  </w:style>
  <w:style w:type="character" w:customStyle="1" w:styleId="HeaderChar">
    <w:name w:val="Header Char"/>
    <w:basedOn w:val="DefaultParagraphFont"/>
    <w:link w:val="Header"/>
    <w:uiPriority w:val="99"/>
    <w:rsid w:val="00E618BF"/>
    <w:rPr>
      <w:lang w:val="es-ES"/>
    </w:rPr>
  </w:style>
  <w:style w:type="paragraph" w:styleId="Footer">
    <w:name w:val="footer"/>
    <w:basedOn w:val="Normal"/>
    <w:link w:val="FooterChar"/>
    <w:uiPriority w:val="99"/>
    <w:unhideWhenUsed/>
    <w:rsid w:val="00E618BF"/>
    <w:pPr>
      <w:spacing w:after="0" w:line="240" w:lineRule="auto"/>
    </w:pPr>
    <w:rPr>
      <w:lang w:val="es-ES"/>
    </w:rPr>
  </w:style>
  <w:style w:type="character" w:customStyle="1" w:styleId="FooterChar">
    <w:name w:val="Footer Char"/>
    <w:basedOn w:val="DefaultParagraphFont"/>
    <w:link w:val="Footer"/>
    <w:uiPriority w:val="99"/>
    <w:rsid w:val="00E618BF"/>
    <w:rPr>
      <w:lang w:val="es-ES"/>
    </w:rPr>
  </w:style>
  <w:style w:type="paragraph" w:styleId="Heading1">
    <w:name w:val="heading 1"/>
    <w:basedOn w:val="Normal"/>
    <w:next w:val="Normal"/>
    <w:link w:val="Heading1Char"/>
    <w:uiPriority w:val="9"/>
    <w:qFormat/>
    <w:rsid w:val="00FC693F"/>
    <w:pPr>
      <w:keepNext/>
      <w:keepLines/>
      <w:spacing w:before="240" w:after="80"/>
      <w:jc w:val="left"/>
      <w:outlineLvl w:val="0"/>
    </w:pPr>
    <w:rPr>
      <w:rFonts w:ascii="Arial" w:hAnsi="Arial" w:cs="Arial" w:eastAsia="Arial"/>
      <w:b/>
      <w:bCs/>
      <w:i w:val="0"/>
      <w:color w:val="0F70B7"/>
      <w:sz w:val="24"/>
      <w:szCs w:val="28"/>
      <w:lang w:val="es-ES"/>
    </w:rPr>
  </w:style>
  <w:style w:type="paragraph" w:styleId="Heading2">
    <w:name w:val="heading 2"/>
    <w:basedOn w:val="Normal"/>
    <w:next w:val="Normal"/>
    <w:link w:val="Heading2Char"/>
    <w:uiPriority w:val="9"/>
    <w:unhideWhenUsed/>
    <w:qFormat/>
    <w:rsid w:val="00FC693F"/>
    <w:pPr>
      <w:keepNext/>
      <w:keepLines/>
      <w:spacing w:before="160" w:after="80"/>
      <w:jc w:val="left"/>
      <w:outlineLvl w:val="1"/>
    </w:pPr>
    <w:rPr>
      <w:rFonts w:ascii="Arial" w:hAnsi="Arial" w:cs="Arial" w:eastAsia="Arial"/>
      <w:b/>
      <w:bCs/>
      <w:i w:val="0"/>
      <w:color w:val="000000"/>
      <w:sz w:val="21"/>
      <w:szCs w:val="26"/>
      <w:lang w:val="es-ES"/>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Arial" w:hAnsi="Arial" w:cs="Arial" w:eastAsia="Arial"/>
      <w:b/>
      <w:bCs/>
      <w:i/>
      <w:color w:val="000000"/>
      <w:sz w:val="20"/>
      <w:lang w:val="es-E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s-E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s-E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s-E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s-E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s-E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s-ES"/>
    </w:rPr>
  </w:style>
  <w:style w:type="character" w:default="1" w:styleId="DefaultParagraphFont">
    <w:name w:val="Default Paragraph Font"/>
    <w:uiPriority w:val="1"/>
    <w:semiHidden/>
    <w:unhideWhenUsed/>
    <w:rPr>
      <w:lang w:val="es-ES"/>
    </w:rPr>
  </w:style>
  <w:style w:type="table" w:default="1" w:styleId="TableNormal">
    <w:name w:val="Normal Table"/>
    <w:uiPriority w:val="99"/>
    <w:semiHidden/>
    <w:unhideWhenUsed/>
    <w:rPr>
      <w:lang w:val="es-ES"/>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s-ES"/>
    </w:rPr>
  </w:style>
  <w:style w:type="paragraph" w:styleId="NoSpacing">
    <w:name w:val="No Spacing"/>
    <w:uiPriority w:val="1"/>
    <w:qFormat/>
    <w:rsid w:val="00FC693F"/>
    <w:pPr>
      <w:spacing w:after="0" w:line="240" w:lineRule="auto"/>
    </w:pPr>
    <w:rPr>
      <w:lang w:val="es-E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s-E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s-E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s-E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s-E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s-E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s-ES"/>
    </w:rPr>
  </w:style>
  <w:style w:type="paragraph" w:styleId="ListParagraph">
    <w:name w:val="List Paragraph"/>
    <w:basedOn w:val="Normal"/>
    <w:uiPriority w:val="34"/>
    <w:qFormat/>
    <w:rsid w:val="00FC693F"/>
    <w:pPr>
      <w:ind w:left="720"/>
      <w:contextualSpacing/>
    </w:pPr>
    <w:rPr>
      <w:lang w:val="es-ES"/>
    </w:rPr>
  </w:style>
  <w:style w:type="paragraph" w:styleId="BodyText">
    <w:name w:val="Body Text"/>
    <w:basedOn w:val="Normal"/>
    <w:link w:val="BodyTextChar"/>
    <w:uiPriority w:val="99"/>
    <w:unhideWhenUsed/>
    <w:rsid w:val="00AA1D8D"/>
    <w:pPr>
      <w:spacing w:after="120"/>
    </w:pPr>
    <w:rPr>
      <w:lang w:val="es-ES"/>
    </w:rPr>
  </w:style>
  <w:style w:type="character" w:customStyle="1" w:styleId="BodyTextChar">
    <w:name w:val="Body Text Char"/>
    <w:basedOn w:val="DefaultParagraphFont"/>
    <w:link w:val="BodyText"/>
    <w:uiPriority w:val="99"/>
    <w:rsid w:val="00AA1D8D"/>
    <w:rPr>
      <w:lang w:val="es-ES"/>
    </w:rPr>
  </w:style>
  <w:style w:type="paragraph" w:styleId="BodyText2">
    <w:name w:val="Body Text 2"/>
    <w:basedOn w:val="Normal"/>
    <w:link w:val="BodyText2Char"/>
    <w:uiPriority w:val="99"/>
    <w:unhideWhenUsed/>
    <w:rsid w:val="00AA1D8D"/>
    <w:pPr>
      <w:spacing w:after="120" w:line="480" w:lineRule="auto"/>
    </w:pPr>
    <w:rPr>
      <w:lang w:val="es-ES"/>
    </w:rPr>
  </w:style>
  <w:style w:type="character" w:customStyle="1" w:styleId="BodyText2Char">
    <w:name w:val="Body Text 2 Char"/>
    <w:basedOn w:val="DefaultParagraphFont"/>
    <w:link w:val="BodyText2"/>
    <w:uiPriority w:val="99"/>
    <w:rsid w:val="00AA1D8D"/>
    <w:rPr>
      <w:lang w:val="es-ES"/>
    </w:rPr>
  </w:style>
  <w:style w:type="paragraph" w:styleId="BodyText3">
    <w:name w:val="Body Text 3"/>
    <w:basedOn w:val="Normal"/>
    <w:link w:val="BodyText3Char"/>
    <w:uiPriority w:val="99"/>
    <w:unhideWhenUsed/>
    <w:rsid w:val="00AA1D8D"/>
    <w:pPr>
      <w:spacing w:after="120"/>
    </w:pPr>
    <w:rPr>
      <w:sz w:val="16"/>
      <w:szCs w:val="16"/>
      <w:lang w:val="es-ES"/>
    </w:rPr>
  </w:style>
  <w:style w:type="character" w:customStyle="1" w:styleId="BodyText3Char">
    <w:name w:val="Body Text 3 Char"/>
    <w:basedOn w:val="DefaultParagraphFont"/>
    <w:link w:val="BodyText3"/>
    <w:uiPriority w:val="99"/>
    <w:rsid w:val="00AA1D8D"/>
    <w:rPr>
      <w:sz w:val="16"/>
      <w:szCs w:val="16"/>
      <w:lang w:val="es-ES"/>
    </w:rPr>
  </w:style>
  <w:style w:type="paragraph" w:styleId="List">
    <w:name w:val="List"/>
    <w:basedOn w:val="Normal"/>
    <w:uiPriority w:val="99"/>
    <w:unhideWhenUsed/>
    <w:rsid w:val="00AA1D8D"/>
    <w:pPr>
      <w:ind w:left="360" w:hanging="360"/>
      <w:contextualSpacing/>
    </w:pPr>
    <w:rPr>
      <w:lang w:val="es-ES"/>
    </w:rPr>
  </w:style>
  <w:style w:type="paragraph" w:styleId="List2">
    <w:name w:val="List 2"/>
    <w:basedOn w:val="Normal"/>
    <w:uiPriority w:val="99"/>
    <w:unhideWhenUsed/>
    <w:rsid w:val="00326F90"/>
    <w:pPr>
      <w:ind w:left="720" w:hanging="360"/>
      <w:contextualSpacing/>
    </w:pPr>
    <w:rPr>
      <w:lang w:val="es-ES"/>
    </w:rPr>
  </w:style>
  <w:style w:type="paragraph" w:styleId="List3">
    <w:name w:val="List 3"/>
    <w:basedOn w:val="Normal"/>
    <w:uiPriority w:val="99"/>
    <w:unhideWhenUsed/>
    <w:rsid w:val="00326F90"/>
    <w:pPr>
      <w:ind w:left="1080" w:hanging="360"/>
      <w:contextualSpacing/>
    </w:pPr>
    <w:rPr>
      <w:lang w:val="es-ES"/>
    </w:rPr>
  </w:style>
  <w:style w:type="paragraph" w:styleId="ListBullet">
    <w:name w:val="List Bullet"/>
    <w:basedOn w:val="Normal"/>
    <w:uiPriority w:val="99"/>
    <w:unhideWhenUsed/>
    <w:rsid w:val="00326F90"/>
    <w:pPr>
      <w:numPr>
        <w:numId w:val="1"/>
      </w:numPr>
      <w:contextualSpacing/>
    </w:pPr>
    <w:rPr>
      <w:lang w:val="es-ES"/>
    </w:rPr>
  </w:style>
  <w:style w:type="paragraph" w:styleId="ListBullet2">
    <w:name w:val="List Bullet 2"/>
    <w:basedOn w:val="Normal"/>
    <w:uiPriority w:val="99"/>
    <w:unhideWhenUsed/>
    <w:rsid w:val="00326F90"/>
    <w:pPr>
      <w:numPr>
        <w:numId w:val="2"/>
      </w:numPr>
      <w:contextualSpacing/>
    </w:pPr>
    <w:rPr>
      <w:lang w:val="es-ES"/>
    </w:rPr>
  </w:style>
  <w:style w:type="paragraph" w:styleId="ListBullet3">
    <w:name w:val="List Bullet 3"/>
    <w:basedOn w:val="Normal"/>
    <w:uiPriority w:val="99"/>
    <w:unhideWhenUsed/>
    <w:rsid w:val="00326F90"/>
    <w:pPr>
      <w:numPr>
        <w:numId w:val="3"/>
      </w:numPr>
      <w:contextualSpacing/>
    </w:pPr>
    <w:rPr>
      <w:lang w:val="es-ES"/>
    </w:rPr>
  </w:style>
  <w:style w:type="paragraph" w:styleId="ListNumber">
    <w:name w:val="List Number"/>
    <w:basedOn w:val="Normal"/>
    <w:uiPriority w:val="99"/>
    <w:unhideWhenUsed/>
    <w:rsid w:val="00326F90"/>
    <w:pPr>
      <w:numPr>
        <w:numId w:val="5"/>
      </w:numPr>
      <w:contextualSpacing/>
    </w:pPr>
    <w:rPr>
      <w:lang w:val="es-ES"/>
    </w:rPr>
  </w:style>
  <w:style w:type="paragraph" w:styleId="ListNumber2">
    <w:name w:val="List Number 2"/>
    <w:basedOn w:val="Normal"/>
    <w:uiPriority w:val="99"/>
    <w:unhideWhenUsed/>
    <w:rsid w:val="0029639D"/>
    <w:pPr>
      <w:numPr>
        <w:numId w:val="6"/>
      </w:numPr>
      <w:contextualSpacing/>
    </w:pPr>
    <w:rPr>
      <w:lang w:val="es-ES"/>
    </w:rPr>
  </w:style>
  <w:style w:type="paragraph" w:styleId="ListNumber3">
    <w:name w:val="List Number 3"/>
    <w:basedOn w:val="Normal"/>
    <w:uiPriority w:val="99"/>
    <w:unhideWhenUsed/>
    <w:rsid w:val="0029639D"/>
    <w:pPr>
      <w:numPr>
        <w:numId w:val="7"/>
      </w:numPr>
      <w:contextualSpacing/>
    </w:pPr>
    <w:rPr>
      <w:lang w:val="es-ES"/>
    </w:rPr>
  </w:style>
  <w:style w:type="paragraph" w:styleId="ListContinue">
    <w:name w:val="List Continue"/>
    <w:basedOn w:val="Normal"/>
    <w:uiPriority w:val="99"/>
    <w:unhideWhenUsed/>
    <w:rsid w:val="0029639D"/>
    <w:pPr>
      <w:spacing w:after="120"/>
      <w:ind w:left="360"/>
      <w:contextualSpacing/>
    </w:pPr>
    <w:rPr>
      <w:lang w:val="es-ES"/>
    </w:rPr>
  </w:style>
  <w:style w:type="paragraph" w:styleId="ListContinue2">
    <w:name w:val="List Continue 2"/>
    <w:basedOn w:val="Normal"/>
    <w:uiPriority w:val="99"/>
    <w:unhideWhenUsed/>
    <w:rsid w:val="0029639D"/>
    <w:pPr>
      <w:spacing w:after="120"/>
      <w:ind w:left="720"/>
      <w:contextualSpacing/>
    </w:pPr>
    <w:rPr>
      <w:lang w:val="es-ES"/>
    </w:rPr>
  </w:style>
  <w:style w:type="paragraph" w:styleId="ListContinue3">
    <w:name w:val="List Continue 3"/>
    <w:basedOn w:val="Normal"/>
    <w:uiPriority w:val="99"/>
    <w:unhideWhenUsed/>
    <w:rsid w:val="0029639D"/>
    <w:pPr>
      <w:spacing w:after="120"/>
      <w:ind w:left="1080"/>
      <w:contextualSpacing/>
    </w:pPr>
    <w:rPr>
      <w:lang w:val="es-E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s-ES"/>
    </w:rPr>
  </w:style>
  <w:style w:type="character" w:customStyle="1" w:styleId="MacroTextChar">
    <w:name w:val="Macro Text Char"/>
    <w:basedOn w:val="DefaultParagraphFont"/>
    <w:link w:val="MacroText"/>
    <w:uiPriority w:val="99"/>
    <w:rsid w:val="0029639D"/>
    <w:rPr>
      <w:rFonts w:ascii="Courier" w:hAnsi="Courier"/>
      <w:sz w:val="20"/>
      <w:szCs w:val="20"/>
      <w:lang w:val="es-ES"/>
    </w:rPr>
  </w:style>
  <w:style w:type="paragraph" w:styleId="Quote">
    <w:name w:val="Quote"/>
    <w:basedOn w:val="Normal"/>
    <w:next w:val="Normal"/>
    <w:link w:val="QuoteChar"/>
    <w:uiPriority w:val="29"/>
    <w:qFormat/>
    <w:rsid w:val="00FC693F"/>
    <w:rPr>
      <w:i/>
      <w:iCs/>
      <w:color w:val="000000" w:themeColor="text1"/>
      <w:lang w:val="es-ES"/>
    </w:rPr>
  </w:style>
  <w:style w:type="character" w:customStyle="1" w:styleId="QuoteChar">
    <w:name w:val="Quote Char"/>
    <w:basedOn w:val="DefaultParagraphFont"/>
    <w:link w:val="Quote"/>
    <w:uiPriority w:val="29"/>
    <w:rsid w:val="00FC693F"/>
    <w:rPr>
      <w:i/>
      <w:iCs/>
      <w:color w:val="000000" w:themeColor="text1"/>
      <w:lang w:val="es-E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s-E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s-E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s-E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s-E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s-E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s-ES"/>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s-ES"/>
    </w:rPr>
  </w:style>
  <w:style w:type="character" w:styleId="Strong">
    <w:name w:val="Strong"/>
    <w:basedOn w:val="DefaultParagraphFont"/>
    <w:uiPriority w:val="22"/>
    <w:qFormat/>
    <w:rsid w:val="00FC693F"/>
    <w:rPr>
      <w:b/>
      <w:bCs/>
      <w:lang w:val="es-ES"/>
    </w:rPr>
  </w:style>
  <w:style w:type="character" w:styleId="Emphasis">
    <w:name w:val="Emphasis"/>
    <w:basedOn w:val="DefaultParagraphFont"/>
    <w:uiPriority w:val="20"/>
    <w:qFormat/>
    <w:rsid w:val="00FC693F"/>
    <w:rPr>
      <w:i/>
      <w:iCs/>
      <w:lang w:val="es-E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s-ES"/>
    </w:rPr>
  </w:style>
  <w:style w:type="character" w:customStyle="1" w:styleId="IntenseQuoteChar">
    <w:name w:val="Intense Quote Char"/>
    <w:basedOn w:val="DefaultParagraphFont"/>
    <w:link w:val="IntenseQuote"/>
    <w:uiPriority w:val="30"/>
    <w:rsid w:val="00FC693F"/>
    <w:rPr>
      <w:b/>
      <w:bCs/>
      <w:i/>
      <w:iCs/>
      <w:color w:val="4F81BD" w:themeColor="accent1"/>
      <w:lang w:val="es-ES"/>
    </w:rPr>
  </w:style>
  <w:style w:type="character" w:styleId="SubtleEmphasis">
    <w:name w:val="Subtle Emphasis"/>
    <w:basedOn w:val="DefaultParagraphFont"/>
    <w:uiPriority w:val="19"/>
    <w:qFormat/>
    <w:rsid w:val="00FC693F"/>
    <w:rPr>
      <w:i/>
      <w:iCs/>
      <w:color w:val="808080" w:themeColor="text1" w:themeTint="7F"/>
      <w:lang w:val="es-ES"/>
    </w:rPr>
  </w:style>
  <w:style w:type="character" w:styleId="IntenseEmphasis">
    <w:name w:val="Intense Emphasis"/>
    <w:basedOn w:val="DefaultParagraphFont"/>
    <w:uiPriority w:val="21"/>
    <w:qFormat/>
    <w:rsid w:val="00FC693F"/>
    <w:rPr>
      <w:b/>
      <w:bCs/>
      <w:i/>
      <w:iCs/>
      <w:color w:val="4F81BD" w:themeColor="accent1"/>
      <w:lang w:val="es-ES"/>
    </w:rPr>
  </w:style>
  <w:style w:type="character" w:styleId="SubtleReference">
    <w:name w:val="Subtle Reference"/>
    <w:basedOn w:val="DefaultParagraphFont"/>
    <w:uiPriority w:val="31"/>
    <w:qFormat/>
    <w:rsid w:val="00FC693F"/>
    <w:rPr>
      <w:smallCaps/>
      <w:color w:val="C0504D" w:themeColor="accent2"/>
      <w:u w:val="single"/>
      <w:lang w:val="es-ES"/>
    </w:rPr>
  </w:style>
  <w:style w:type="character" w:styleId="IntenseReference">
    <w:name w:val="Intense Reference"/>
    <w:basedOn w:val="DefaultParagraphFont"/>
    <w:uiPriority w:val="32"/>
    <w:qFormat/>
    <w:rsid w:val="00FC693F"/>
    <w:rPr>
      <w:b/>
      <w:bCs/>
      <w:smallCaps/>
      <w:color w:val="C0504D" w:themeColor="accent2"/>
      <w:spacing w:val="5"/>
      <w:u w:val="single"/>
      <w:lang w:val="es-ES"/>
    </w:rPr>
  </w:style>
  <w:style w:type="character" w:styleId="BookTitle">
    <w:name w:val="Book Title"/>
    <w:basedOn w:val="DefaultParagraphFont"/>
    <w:uiPriority w:val="33"/>
    <w:qFormat/>
    <w:rsid w:val="00FC693F"/>
    <w:rPr>
      <w:b/>
      <w:bCs/>
      <w:smallCaps/>
      <w:spacing w:val="5"/>
      <w:lang w:val="es-ES"/>
    </w:rPr>
  </w:style>
  <w:style w:type="paragraph" w:styleId="TOCHeading">
    <w:name w:val="TOC Heading"/>
    <w:basedOn w:val="Heading1"/>
    <w:next w:val="Normal"/>
    <w:uiPriority w:val="39"/>
    <w:semiHidden/>
    <w:unhideWhenUsed/>
    <w:qFormat/>
    <w:rsid w:val="00FC693F"/>
    <w:pPr>
      <w:outlineLvl w:val="9"/>
    </w:pPr>
    <w:rPr>
      <w:lang w:val="es-ES"/>
    </w:rPr>
  </w:style>
  <w:style w:type="table" w:styleId="TableGrid">
    <w:name w:val="Table Grid"/>
    <w:basedOn w:val="TableNormal"/>
    <w:uiPriority w:val="59"/>
    <w:rsid w:val="00FC693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s-E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s-E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s-E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s-E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s-E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s-E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s-E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s-E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s-E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s-E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s-E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s-E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s-E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Body">
    <w:name w:val="IJK Body"/>
    <w:basedOn w:val="Normal"/>
    <w:pPr>
      <w:spacing w:before="0" w:after="120" w:line="276" w:lineRule="auto"/>
      <w:jc w:val="both"/>
    </w:pPr>
    <w:rPr>
      <w:rFonts w:ascii="Arial" w:hAnsi="Arial" w:cs="Arial" w:eastAsia="Arial"/>
      <w:b w:val="0"/>
      <w:i w:val="0"/>
      <w:sz w:val="20"/>
      <w:lang w:val="es-ES"/>
    </w:rPr>
  </w:style>
  <w:style w:type="paragraph" w:customStyle="1" w:styleId="IJKGuide">
    <w:name w:val="IJK Guide"/>
    <w:basedOn w:val="Normal"/>
    <w:pPr>
      <w:spacing w:before="0" w:after="80" w:line="276" w:lineRule="auto"/>
    </w:pPr>
    <w:rPr>
      <w:rFonts w:ascii="Arial" w:hAnsi="Arial" w:cs="Arial" w:eastAsia="Arial"/>
      <w:b w:val="0"/>
      <w:i/>
      <w:color w:val="7F7F7F"/>
      <w:sz w:val="18"/>
      <w:lang w:val="es-ES"/>
    </w:rPr>
  </w:style>
  <w:style w:type="paragraph" w:customStyle="1" w:styleId="IJKArticleType">
    <w:name w:val="IJK Article Type"/>
    <w:basedOn w:val="Normal"/>
    <w:pPr>
      <w:spacing w:before="0" w:after="80" w:line="276" w:lineRule="auto"/>
    </w:pPr>
    <w:rPr>
      <w:rFonts w:ascii="Arial" w:hAnsi="Arial" w:cs="Arial" w:eastAsia="Arial"/>
      <w:b/>
      <w:i w:val="0"/>
      <w:color w:val="0F70B7"/>
      <w:sz w:val="17"/>
      <w:lang w:val="es-ES"/>
    </w:rPr>
  </w:style>
  <w:style w:type="paragraph" w:customStyle="1" w:styleId="IJKTitle">
    <w:name w:val="IJK Title"/>
    <w:basedOn w:val="Normal"/>
    <w:pPr>
      <w:spacing w:before="120" w:after="120" w:line="252" w:lineRule="auto"/>
      <w:jc w:val="left"/>
    </w:pPr>
    <w:rPr>
      <w:rFonts w:ascii="Arial" w:hAnsi="Arial" w:cs="Arial" w:eastAsia="Arial"/>
      <w:b/>
      <w:i w:val="0"/>
      <w:color w:val="0F70B7"/>
      <w:sz w:val="32"/>
      <w:lang w:val="es-ES"/>
    </w:rPr>
  </w:style>
  <w:style w:type="paragraph" w:customStyle="1" w:styleId="IJKTitleTranslated">
    <w:name w:val="IJK Title Translated"/>
    <w:basedOn w:val="Normal"/>
    <w:pPr>
      <w:keepNext/>
      <w:spacing w:before="200" w:after="80" w:line="276" w:lineRule="auto"/>
      <w:jc w:val="left"/>
    </w:pPr>
    <w:rPr>
      <w:rFonts w:ascii="Arial" w:hAnsi="Arial" w:cs="Arial" w:eastAsia="Arial"/>
      <w:b/>
      <w:i/>
      <w:color w:val="0F70B7"/>
      <w:sz w:val="22"/>
      <w:lang w:val="es-ES"/>
    </w:rPr>
  </w:style>
  <w:style w:type="paragraph" w:customStyle="1" w:styleId="IJKAuthors">
    <w:name w:val="IJK Authors"/>
    <w:basedOn w:val="Normal"/>
    <w:pPr>
      <w:spacing w:before="80" w:after="80" w:line="276" w:lineRule="auto"/>
      <w:jc w:val="left"/>
    </w:pPr>
    <w:rPr>
      <w:rFonts w:ascii="Arial" w:hAnsi="Arial" w:cs="Arial" w:eastAsia="Arial"/>
      <w:b/>
      <w:i w:val="0"/>
      <w:sz w:val="22"/>
      <w:lang w:val="es-ES"/>
    </w:rPr>
  </w:style>
  <w:style w:type="paragraph" w:customStyle="1" w:styleId="IJKAffiliation">
    <w:name w:val="IJK Affiliation"/>
    <w:basedOn w:val="Normal"/>
    <w:pPr>
      <w:spacing w:before="0" w:after="20" w:line="276" w:lineRule="auto"/>
      <w:jc w:val="left"/>
    </w:pPr>
    <w:rPr>
      <w:rFonts w:ascii="Arial" w:hAnsi="Arial" w:cs="Arial" w:eastAsia="Arial"/>
      <w:b w:val="0"/>
      <w:i w:val="0"/>
      <w:sz w:val="17"/>
      <w:lang w:val="es-ES"/>
    </w:rPr>
  </w:style>
  <w:style w:type="paragraph" w:customStyle="1" w:styleId="IJKArticleInfo">
    <w:name w:val="IJK Article Info"/>
    <w:basedOn w:val="Normal"/>
    <w:pPr>
      <w:spacing w:before="0" w:after="20" w:line="276" w:lineRule="auto"/>
      <w:jc w:val="left"/>
    </w:pPr>
    <w:rPr>
      <w:rFonts w:ascii="Arial" w:hAnsi="Arial" w:cs="Arial" w:eastAsia="Arial"/>
      <w:b w:val="0"/>
      <w:i w:val="0"/>
      <w:sz w:val="17"/>
      <w:lang w:val="es-ES"/>
    </w:rPr>
  </w:style>
  <w:style w:type="paragraph" w:customStyle="1" w:styleId="IJKAbstractHeading">
    <w:name w:val="IJK Abstract Heading"/>
    <w:basedOn w:val="Normal"/>
    <w:pPr>
      <w:keepNext/>
      <w:spacing w:before="200" w:after="80" w:line="276" w:lineRule="auto"/>
      <w:jc w:val="center"/>
    </w:pPr>
    <w:rPr>
      <w:rFonts w:ascii="Arial" w:hAnsi="Arial" w:cs="Arial" w:eastAsia="Arial"/>
      <w:b/>
      <w:i w:val="0"/>
      <w:color w:val="0F70B7"/>
      <w:sz w:val="22"/>
      <w:lang w:val="es-ES"/>
    </w:rPr>
  </w:style>
  <w:style w:type="paragraph" w:customStyle="1" w:styleId="IJKAbstract">
    <w:name w:val="IJK Abstract"/>
    <w:basedOn w:val="Normal"/>
    <w:pPr>
      <w:spacing w:before="0" w:after="60" w:line="276" w:lineRule="auto"/>
      <w:jc w:val="both"/>
    </w:pPr>
    <w:rPr>
      <w:rFonts w:ascii="Arial" w:hAnsi="Arial" w:cs="Arial" w:eastAsia="Arial"/>
      <w:b w:val="0"/>
      <w:i w:val="0"/>
      <w:sz w:val="19"/>
      <w:lang w:val="es-ES"/>
    </w:rPr>
  </w:style>
  <w:style w:type="paragraph" w:customStyle="1" w:styleId="IJKKeywords">
    <w:name w:val="IJK Keywords"/>
    <w:basedOn w:val="Normal"/>
    <w:pPr>
      <w:spacing w:before="80" w:after="160" w:line="276" w:lineRule="auto"/>
      <w:jc w:val="left"/>
    </w:pPr>
    <w:rPr>
      <w:rFonts w:ascii="Arial" w:hAnsi="Arial" w:cs="Arial" w:eastAsia="Arial"/>
      <w:b w:val="0"/>
      <w:i w:val="0"/>
      <w:sz w:val="19"/>
      <w:lang w:val="es-ES"/>
    </w:rPr>
  </w:style>
  <w:style w:type="paragraph" w:customStyle="1" w:styleId="IJKTableCaption">
    <w:name w:val="IJK Table Caption"/>
    <w:basedOn w:val="Normal"/>
    <w:pPr>
      <w:keepNext/>
      <w:spacing w:before="160" w:after="60" w:line="276" w:lineRule="auto"/>
      <w:jc w:val="left"/>
    </w:pPr>
    <w:rPr>
      <w:rFonts w:ascii="Arial" w:hAnsi="Arial" w:cs="Arial" w:eastAsia="Arial"/>
      <w:b w:val="0"/>
      <w:i w:val="0"/>
      <w:sz w:val="18"/>
      <w:lang w:val="es-ES"/>
    </w:rPr>
  </w:style>
  <w:style w:type="paragraph" w:customStyle="1" w:styleId="IJKTableText">
    <w:name w:val="IJK Table Text"/>
    <w:basedOn w:val="Normal"/>
    <w:pPr>
      <w:spacing w:before="0" w:after="0" w:line="240" w:lineRule="auto"/>
      <w:jc w:val="left"/>
    </w:pPr>
    <w:rPr>
      <w:rFonts w:ascii="Arial" w:hAnsi="Arial" w:cs="Arial" w:eastAsia="Arial"/>
      <w:b w:val="0"/>
      <w:i w:val="0"/>
      <w:sz w:val="17"/>
      <w:lang w:val="es-ES"/>
    </w:rPr>
  </w:style>
  <w:style w:type="paragraph" w:customStyle="1" w:styleId="IJKTableNote">
    <w:name w:val="IJK Table Note"/>
    <w:basedOn w:val="Normal"/>
    <w:pPr>
      <w:spacing w:before="40" w:after="160" w:line="276" w:lineRule="auto"/>
      <w:jc w:val="left"/>
    </w:pPr>
    <w:rPr>
      <w:rFonts w:ascii="Arial" w:hAnsi="Arial" w:cs="Arial" w:eastAsia="Arial"/>
      <w:b w:val="0"/>
      <w:i w:val="0"/>
      <w:sz w:val="16"/>
      <w:lang w:val="es-ES"/>
    </w:rPr>
  </w:style>
  <w:style w:type="paragraph" w:customStyle="1" w:styleId="IJKFigure">
    <w:name w:val="IJK Figure"/>
    <w:basedOn w:val="Normal"/>
    <w:pPr>
      <w:spacing w:before="0" w:after="0" w:line="276" w:lineRule="auto"/>
      <w:jc w:val="center"/>
    </w:pPr>
    <w:rPr>
      <w:rFonts w:ascii="Arial" w:hAnsi="Arial" w:cs="Arial" w:eastAsia="Arial"/>
      <w:b w:val="0"/>
      <w:i/>
      <w:color w:val="7F7F7F"/>
      <w:sz w:val="18"/>
      <w:lang w:val="es-ES"/>
    </w:rPr>
  </w:style>
  <w:style w:type="paragraph" w:customStyle="1" w:styleId="IJKFigureCaption">
    <w:name w:val="IJK Figure Caption"/>
    <w:basedOn w:val="Normal"/>
    <w:pPr>
      <w:spacing w:before="60" w:after="160" w:line="276" w:lineRule="auto"/>
      <w:jc w:val="left"/>
    </w:pPr>
    <w:rPr>
      <w:rFonts w:ascii="Arial" w:hAnsi="Arial" w:cs="Arial" w:eastAsia="Arial"/>
      <w:b w:val="0"/>
      <w:i w:val="0"/>
      <w:sz w:val="18"/>
      <w:lang w:val="es-ES"/>
    </w:rPr>
  </w:style>
  <w:style w:type="paragraph" w:customStyle="1" w:styleId="IJKBackMatterHeading">
    <w:name w:val="IJK Back Matter Heading"/>
    <w:basedOn w:val="Normal"/>
    <w:pPr>
      <w:keepNext/>
      <w:spacing w:before="160" w:after="40" w:line="276" w:lineRule="auto"/>
    </w:pPr>
    <w:rPr>
      <w:rFonts w:ascii="Arial" w:hAnsi="Arial" w:cs="Arial" w:eastAsia="Arial"/>
      <w:b/>
      <w:i w:val="0"/>
      <w:color w:val="0F70B7"/>
      <w:sz w:val="20"/>
      <w:lang w:val="es-ES"/>
    </w:rPr>
  </w:style>
  <w:style w:type="paragraph" w:customStyle="1" w:styleId="IJKBackMatter">
    <w:name w:val="IJK Back Matter"/>
    <w:basedOn w:val="Normal"/>
    <w:pPr>
      <w:spacing w:before="0" w:after="80" w:line="276" w:lineRule="auto"/>
      <w:jc w:val="both"/>
    </w:pPr>
    <w:rPr>
      <w:rFonts w:ascii="Arial" w:hAnsi="Arial" w:cs="Arial" w:eastAsia="Arial"/>
      <w:b w:val="0"/>
      <w:i w:val="0"/>
      <w:sz w:val="18"/>
      <w:lang w:val="es-ES"/>
    </w:rPr>
  </w:style>
  <w:style w:type="paragraph" w:customStyle="1" w:styleId="IJKReference">
    <w:name w:val="IJK Reference"/>
    <w:basedOn w:val="Normal"/>
    <w:pPr>
      <w:spacing w:before="0" w:after="80" w:line="276" w:lineRule="auto"/>
      <w:ind w:left="425" w:hanging="425"/>
      <w:jc w:val="left"/>
    </w:pPr>
    <w:rPr>
      <w:rFonts w:ascii="Arial" w:hAnsi="Arial" w:cs="Arial" w:eastAsia="Arial"/>
      <w:b w:val="0"/>
      <w:i w:val="0"/>
      <w:sz w:val="18"/>
      <w:lang w:val="es-ES"/>
    </w:rPr>
  </w:style>
  <w:style w:type="paragraph" w:customStyle="1" w:styleId="IJKSmall">
    <w:name w:val="IJK Small"/>
    <w:basedOn w:val="Normal"/>
    <w:pPr>
      <w:spacing w:before="0" w:after="0" w:line="240" w:lineRule="auto"/>
      <w:jc w:val="left"/>
    </w:pPr>
    <w:rPr>
      <w:rFonts w:ascii="Arial" w:hAnsi="Arial" w:cs="Arial" w:eastAsia="Arial"/>
      <w:b w:val="0"/>
      <w:i w:val="0"/>
      <w:sz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doi.org/10.34256/ijkXXXX" TargetMode="External"/><Relationship Id="rId14" Type="http://schemas.openxmlformats.org/officeDocument/2006/relationships/image" Target="media/image3.png"/><Relationship Id="rId15" Type="http://schemas.openxmlformats.org/officeDocument/2006/relationships/hyperlink" Target="https://orcid.org/0000-0000-0000-0000" TargetMode="External"/><Relationship Id="rId16" Type="http://schemas.openxmlformats.org/officeDocument/2006/relationships/hyperlink" Target="mailto:correo@institucion.org" TargetMode="External"/><Relationship Id="rId17" Type="http://schemas.openxmlformats.org/officeDocument/2006/relationships/image" Target="media/image4.png"/><Relationship Id="rId18" Type="http://schemas.openxmlformats.org/officeDocument/2006/relationships/hyperlink" Target="https://creativecommons.org/licenses/by/4.0/" TargetMode="External"/><Relationship Id="rId19" Type="http://schemas.openxmlformats.org/officeDocument/2006/relationships/image" Target="media/image2.png"/><Relationship Id="rId20" Type="http://schemas.openxmlformats.org/officeDocument/2006/relationships/hyperlink" Target="https://doi.org/10.xxxx/xxxx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10.34256/ijkXXX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34256/ijk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revista.westeurope.cloudapp.azure.com/ijk" TargetMode="External"/><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IJK – Maqueta del artículo publicado</dc:title>
  <dc:subject>International Journal of Kinanthropometry · E-ISSN 2790-9816</dc:subject>
  <dc:creator>International Journal of Kinanthropometry (ISAK)</dc:creator>
  <cp:keywords>IJK; maqueta; maquetación; JATS</cp:keywords>
  <dc:description/>
  <cp:lastModifiedBy>IJK</cp:lastModifiedBy>
  <cp:revision>1</cp:revision>
  <dcterms:created xsi:type="dcterms:W3CDTF">2013-12-23T23:15:00Z</dcterms:created>
  <dcterms:modified xsi:type="dcterms:W3CDTF">2013-12-23T23:15:00Z</dcterms:modified>
  <cp:category>International Journal of Kinanthropometry · E-ISSN 2790-9816</cp:category>
  <dc:language>es-ES</dc:language>
</cp:coreProperties>
</file>